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BC" w:rsidRPr="00B62920" w:rsidRDefault="007766DD" w:rsidP="00EB38E6">
      <w:pPr>
        <w:jc w:val="center"/>
        <w:rPr>
          <w:lang w:val="en-GB"/>
        </w:rPr>
      </w:pPr>
      <w:bookmarkStart w:id="0" w:name="_GoBack"/>
      <w:bookmarkEnd w:id="0"/>
      <w:r w:rsidRPr="00B62920">
        <w:rPr>
          <w:noProof/>
        </w:rPr>
        <w:drawing>
          <wp:inline distT="0" distB="0" distL="0" distR="0" wp14:anchorId="70796235" wp14:editId="7BB9774C">
            <wp:extent cx="5905500" cy="1657350"/>
            <wp:effectExtent l="19050" t="0" r="0" b="0"/>
            <wp:docPr id="1" name="Picture 0" descr="HRAP_NEW_banner-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RAP_NEW_banner-eng.jpg"/>
                    <pic:cNvPicPr>
                      <a:picLocks noChangeAspect="1" noChangeArrowheads="1"/>
                    </pic:cNvPicPr>
                  </pic:nvPicPr>
                  <pic:blipFill>
                    <a:blip r:embed="rId9" cstate="print"/>
                    <a:srcRect/>
                    <a:stretch>
                      <a:fillRect/>
                    </a:stretch>
                  </pic:blipFill>
                  <pic:spPr bwMode="auto">
                    <a:xfrm>
                      <a:off x="0" y="0"/>
                      <a:ext cx="5905500" cy="1657350"/>
                    </a:xfrm>
                    <a:prstGeom prst="rect">
                      <a:avLst/>
                    </a:prstGeom>
                    <a:noFill/>
                    <a:ln w="9525">
                      <a:noFill/>
                      <a:miter lim="800000"/>
                      <a:headEnd/>
                      <a:tailEnd/>
                    </a:ln>
                  </pic:spPr>
                </pic:pic>
              </a:graphicData>
            </a:graphic>
          </wp:inline>
        </w:drawing>
      </w:r>
    </w:p>
    <w:p w:rsidR="002B26D6" w:rsidRPr="00B62920" w:rsidRDefault="002B26D6" w:rsidP="000F7E70">
      <w:pPr>
        <w:autoSpaceDE w:val="0"/>
        <w:ind w:left="720" w:firstLine="720"/>
        <w:jc w:val="center"/>
        <w:rPr>
          <w:b/>
          <w:bCs/>
          <w:lang w:val="en-GB"/>
        </w:rPr>
      </w:pPr>
    </w:p>
    <w:p w:rsidR="000F7E70" w:rsidRPr="00B62920" w:rsidRDefault="000F7E70" w:rsidP="00EB38E6">
      <w:pPr>
        <w:autoSpaceDE w:val="0"/>
        <w:ind w:hanging="11"/>
        <w:jc w:val="center"/>
        <w:rPr>
          <w:b/>
          <w:bCs/>
          <w:lang w:val="en-GB"/>
        </w:rPr>
      </w:pPr>
      <w:r w:rsidRPr="00B62920">
        <w:rPr>
          <w:b/>
          <w:bCs/>
          <w:lang w:val="en-GB"/>
        </w:rPr>
        <w:t>OPINION</w:t>
      </w:r>
    </w:p>
    <w:p w:rsidR="00B62920" w:rsidRPr="00B62920" w:rsidRDefault="00B62920" w:rsidP="000F7E70">
      <w:pPr>
        <w:autoSpaceDE w:val="0"/>
        <w:jc w:val="both"/>
        <w:rPr>
          <w:b/>
          <w:bCs/>
          <w:lang w:val="en-GB"/>
        </w:rPr>
      </w:pPr>
    </w:p>
    <w:p w:rsidR="000F7E70" w:rsidRPr="00B62920" w:rsidRDefault="000F7E70" w:rsidP="000F7E70">
      <w:pPr>
        <w:autoSpaceDE w:val="0"/>
        <w:jc w:val="both"/>
        <w:rPr>
          <w:b/>
          <w:bCs/>
          <w:lang w:val="en-GB"/>
        </w:rPr>
      </w:pPr>
      <w:r w:rsidRPr="00B62920">
        <w:rPr>
          <w:b/>
          <w:bCs/>
          <w:lang w:val="en-GB"/>
        </w:rPr>
        <w:t xml:space="preserve">Date of adoption: </w:t>
      </w:r>
      <w:r w:rsidR="00B62920" w:rsidRPr="00B62920">
        <w:rPr>
          <w:b/>
          <w:bCs/>
          <w:lang w:val="en-GB"/>
        </w:rPr>
        <w:t>24</w:t>
      </w:r>
      <w:r w:rsidR="00093691" w:rsidRPr="00B62920">
        <w:rPr>
          <w:b/>
          <w:bCs/>
          <w:lang w:val="en-GB"/>
        </w:rPr>
        <w:t xml:space="preserve"> June 2015</w:t>
      </w:r>
    </w:p>
    <w:p w:rsidR="00E327E1" w:rsidRPr="00B62920" w:rsidRDefault="00E327E1" w:rsidP="000F7E70">
      <w:pPr>
        <w:autoSpaceDE w:val="0"/>
        <w:jc w:val="both"/>
        <w:rPr>
          <w:b/>
          <w:bCs/>
          <w:lang w:val="en-GB"/>
        </w:rPr>
      </w:pPr>
    </w:p>
    <w:p w:rsidR="008612C4" w:rsidRPr="00B62920" w:rsidRDefault="008612C4" w:rsidP="008612C4">
      <w:pPr>
        <w:autoSpaceDE w:val="0"/>
        <w:autoSpaceDN w:val="0"/>
        <w:adjustRightInd w:val="0"/>
        <w:jc w:val="both"/>
        <w:rPr>
          <w:b/>
          <w:bCs/>
        </w:rPr>
      </w:pPr>
      <w:r w:rsidRPr="00B62920">
        <w:rPr>
          <w:b/>
          <w:bCs/>
        </w:rPr>
        <w:t>Case No. 285/09</w:t>
      </w:r>
    </w:p>
    <w:p w:rsidR="008612C4" w:rsidRPr="00B62920" w:rsidRDefault="008612C4" w:rsidP="008612C4">
      <w:pPr>
        <w:autoSpaceDE w:val="0"/>
        <w:autoSpaceDN w:val="0"/>
        <w:adjustRightInd w:val="0"/>
        <w:jc w:val="both"/>
        <w:rPr>
          <w:b/>
          <w:bCs/>
        </w:rPr>
      </w:pPr>
    </w:p>
    <w:p w:rsidR="008612C4" w:rsidRPr="00B62920" w:rsidRDefault="008612C4" w:rsidP="008612C4">
      <w:pPr>
        <w:autoSpaceDE w:val="0"/>
        <w:autoSpaceDN w:val="0"/>
        <w:adjustRightInd w:val="0"/>
        <w:jc w:val="both"/>
        <w:rPr>
          <w:b/>
          <w:bCs/>
        </w:rPr>
      </w:pPr>
      <w:r w:rsidRPr="00B62920">
        <w:rPr>
          <w:b/>
        </w:rPr>
        <w:t>Suzana LJUMOVI</w:t>
      </w:r>
      <w:r w:rsidRPr="00B62920">
        <w:rPr>
          <w:b/>
          <w:caps/>
        </w:rPr>
        <w:t>ć</w:t>
      </w:r>
      <w:r w:rsidRPr="00B62920">
        <w:rPr>
          <w:b/>
        </w:rPr>
        <w:t xml:space="preserve"> </w:t>
      </w:r>
    </w:p>
    <w:p w:rsidR="002D428F" w:rsidRPr="00B62920" w:rsidRDefault="002D428F" w:rsidP="002D428F">
      <w:pPr>
        <w:autoSpaceDE w:val="0"/>
        <w:autoSpaceDN w:val="0"/>
        <w:adjustRightInd w:val="0"/>
        <w:jc w:val="both"/>
        <w:rPr>
          <w:b/>
          <w:bCs/>
          <w:lang w:val="en-GB"/>
        </w:rPr>
      </w:pPr>
    </w:p>
    <w:p w:rsidR="002D428F" w:rsidRPr="00B62920" w:rsidRDefault="002D428F" w:rsidP="002D428F">
      <w:pPr>
        <w:autoSpaceDE w:val="0"/>
        <w:autoSpaceDN w:val="0"/>
        <w:adjustRightInd w:val="0"/>
        <w:jc w:val="both"/>
        <w:rPr>
          <w:b/>
          <w:bCs/>
          <w:lang w:val="en-GB"/>
        </w:rPr>
      </w:pPr>
      <w:proofErr w:type="gramStart"/>
      <w:r w:rsidRPr="00B62920">
        <w:rPr>
          <w:b/>
          <w:bCs/>
          <w:lang w:val="en-GB"/>
        </w:rPr>
        <w:t>against</w:t>
      </w:r>
      <w:proofErr w:type="gramEnd"/>
    </w:p>
    <w:p w:rsidR="002D428F" w:rsidRPr="00B62920" w:rsidRDefault="002D428F" w:rsidP="002D428F">
      <w:pPr>
        <w:autoSpaceDE w:val="0"/>
        <w:autoSpaceDN w:val="0"/>
        <w:adjustRightInd w:val="0"/>
        <w:jc w:val="both"/>
        <w:rPr>
          <w:b/>
          <w:bCs/>
          <w:lang w:val="en-GB"/>
        </w:rPr>
      </w:pPr>
    </w:p>
    <w:p w:rsidR="002D428F" w:rsidRPr="00B62920" w:rsidRDefault="002D428F" w:rsidP="002D428F">
      <w:pPr>
        <w:autoSpaceDE w:val="0"/>
        <w:autoSpaceDN w:val="0"/>
        <w:adjustRightInd w:val="0"/>
        <w:jc w:val="both"/>
        <w:rPr>
          <w:b/>
          <w:bCs/>
          <w:lang w:val="en-GB"/>
        </w:rPr>
      </w:pPr>
      <w:r w:rsidRPr="00B62920">
        <w:rPr>
          <w:b/>
          <w:bCs/>
          <w:lang w:val="en-GB"/>
        </w:rPr>
        <w:t xml:space="preserve">UNMIK </w:t>
      </w:r>
    </w:p>
    <w:p w:rsidR="00E07C8C" w:rsidRPr="00B62920" w:rsidRDefault="00E07C8C" w:rsidP="000F7E70">
      <w:pPr>
        <w:autoSpaceDE w:val="0"/>
        <w:jc w:val="both"/>
        <w:rPr>
          <w:b/>
          <w:bCs/>
          <w:lang w:val="en-GB"/>
        </w:rPr>
      </w:pPr>
    </w:p>
    <w:p w:rsidR="004202B2" w:rsidRPr="00B62920" w:rsidRDefault="004202B2" w:rsidP="000F7E70">
      <w:pPr>
        <w:autoSpaceDE w:val="0"/>
        <w:jc w:val="both"/>
        <w:rPr>
          <w:b/>
          <w:bCs/>
          <w:lang w:val="en-GB"/>
        </w:rPr>
      </w:pPr>
    </w:p>
    <w:p w:rsidR="000C2AEF" w:rsidRPr="00B62920" w:rsidRDefault="000C2AEF" w:rsidP="000C2AEF">
      <w:pPr>
        <w:autoSpaceDE w:val="0"/>
        <w:jc w:val="both"/>
      </w:pPr>
      <w:r w:rsidRPr="00B62920">
        <w:t xml:space="preserve">The Human Rights Advisory Panel, sitting on </w:t>
      </w:r>
      <w:r w:rsidR="00B62920" w:rsidRPr="00B62920">
        <w:t>24</w:t>
      </w:r>
      <w:r w:rsidRPr="00B62920">
        <w:t xml:space="preserve"> </w:t>
      </w:r>
      <w:r w:rsidR="00093691" w:rsidRPr="00B62920">
        <w:t>June</w:t>
      </w:r>
      <w:r w:rsidRPr="00B62920">
        <w:t xml:space="preserve"> 2015,</w:t>
      </w:r>
    </w:p>
    <w:p w:rsidR="000C2AEF" w:rsidRPr="00B62920" w:rsidRDefault="000C2AEF" w:rsidP="000C2AEF">
      <w:pPr>
        <w:autoSpaceDE w:val="0"/>
        <w:jc w:val="both"/>
      </w:pPr>
      <w:proofErr w:type="gramStart"/>
      <w:r w:rsidRPr="00B62920">
        <w:t>with</w:t>
      </w:r>
      <w:proofErr w:type="gramEnd"/>
      <w:r w:rsidRPr="00B62920">
        <w:t xml:space="preserve"> the following members present:</w:t>
      </w:r>
    </w:p>
    <w:p w:rsidR="000C2AEF" w:rsidRPr="00B62920" w:rsidRDefault="000C2AEF" w:rsidP="000C2AEF">
      <w:pPr>
        <w:autoSpaceDE w:val="0"/>
        <w:jc w:val="both"/>
      </w:pPr>
    </w:p>
    <w:p w:rsidR="000C2AEF" w:rsidRPr="00B62920" w:rsidRDefault="000C2AEF" w:rsidP="000C2AEF">
      <w:pPr>
        <w:autoSpaceDE w:val="0"/>
        <w:jc w:val="both"/>
      </w:pPr>
      <w:r w:rsidRPr="00B62920">
        <w:t>Marek Nowicki, Presiding Member</w:t>
      </w:r>
    </w:p>
    <w:p w:rsidR="000C2AEF" w:rsidRPr="00B62920" w:rsidRDefault="000C2AEF" w:rsidP="000C2AEF">
      <w:pPr>
        <w:autoSpaceDE w:val="0"/>
        <w:jc w:val="both"/>
      </w:pPr>
      <w:r w:rsidRPr="00B62920">
        <w:t>Christine Chinkin</w:t>
      </w:r>
    </w:p>
    <w:p w:rsidR="000C2AEF" w:rsidRPr="00B62920" w:rsidRDefault="000C2AEF" w:rsidP="000C2AEF">
      <w:pPr>
        <w:autoSpaceDE w:val="0"/>
        <w:jc w:val="both"/>
        <w:rPr>
          <w:color w:val="FF0000"/>
        </w:rPr>
      </w:pPr>
      <w:r w:rsidRPr="00B62920">
        <w:t>Françoise Tulkens</w:t>
      </w:r>
    </w:p>
    <w:p w:rsidR="000C2AEF" w:rsidRPr="00B62920" w:rsidRDefault="000C2AEF" w:rsidP="000C2AEF">
      <w:pPr>
        <w:autoSpaceDE w:val="0"/>
        <w:jc w:val="both"/>
      </w:pPr>
    </w:p>
    <w:p w:rsidR="000C2AEF" w:rsidRPr="00B62920" w:rsidRDefault="000C2AEF" w:rsidP="000C2AEF">
      <w:pPr>
        <w:autoSpaceDE w:val="0"/>
        <w:jc w:val="both"/>
      </w:pPr>
      <w:r w:rsidRPr="00B62920">
        <w:t>Assisted by</w:t>
      </w:r>
    </w:p>
    <w:p w:rsidR="000C2AEF" w:rsidRPr="00B62920" w:rsidRDefault="000C2AEF" w:rsidP="000C2AEF">
      <w:pPr>
        <w:autoSpaceDE w:val="0"/>
        <w:jc w:val="both"/>
      </w:pPr>
    </w:p>
    <w:p w:rsidR="000C2AEF" w:rsidRPr="00B62920" w:rsidRDefault="000C2AEF" w:rsidP="000C2AEF">
      <w:pPr>
        <w:autoSpaceDE w:val="0"/>
        <w:jc w:val="both"/>
      </w:pPr>
      <w:r w:rsidRPr="00B62920">
        <w:t>Andrey Antonov, Executive Officer</w:t>
      </w:r>
    </w:p>
    <w:p w:rsidR="000C2AEF" w:rsidRPr="00B62920" w:rsidRDefault="000C2AEF" w:rsidP="000C2AEF">
      <w:pPr>
        <w:autoSpaceDE w:val="0"/>
        <w:jc w:val="both"/>
      </w:pPr>
    </w:p>
    <w:p w:rsidR="000C2AEF" w:rsidRPr="00B62920" w:rsidRDefault="000C2AEF" w:rsidP="000C2AEF">
      <w:pPr>
        <w:autoSpaceDE w:val="0"/>
        <w:jc w:val="both"/>
      </w:pPr>
    </w:p>
    <w:p w:rsidR="000C2AEF" w:rsidRPr="00B62920" w:rsidRDefault="000C2AEF" w:rsidP="000C2AEF">
      <w:pPr>
        <w:autoSpaceDE w:val="0"/>
        <w:autoSpaceDN w:val="0"/>
        <w:adjustRightInd w:val="0"/>
        <w:jc w:val="both"/>
      </w:pPr>
      <w:r w:rsidRPr="00B62920">
        <w:t>Having considered the aforementioned complaint, introduced pursuant to Section 1.2 of UNMIK Regulation No. 2006/12 of 23 March 2006 on the Establishment of the Human Rights Advisory Panel,</w:t>
      </w:r>
    </w:p>
    <w:p w:rsidR="000C2AEF" w:rsidRPr="00B62920" w:rsidRDefault="000C2AEF" w:rsidP="000C2AEF">
      <w:pPr>
        <w:autoSpaceDE w:val="0"/>
        <w:autoSpaceDN w:val="0"/>
        <w:adjustRightInd w:val="0"/>
        <w:jc w:val="both"/>
      </w:pPr>
    </w:p>
    <w:p w:rsidR="000C2AEF" w:rsidRPr="00B62920" w:rsidRDefault="000C2AEF" w:rsidP="000C2AEF">
      <w:pPr>
        <w:autoSpaceDE w:val="0"/>
        <w:autoSpaceDN w:val="0"/>
        <w:adjustRightInd w:val="0"/>
        <w:jc w:val="both"/>
      </w:pPr>
    </w:p>
    <w:p w:rsidR="000C2AEF" w:rsidRPr="00B62920" w:rsidRDefault="000C2AEF" w:rsidP="000C2AEF">
      <w:pPr>
        <w:autoSpaceDE w:val="0"/>
        <w:autoSpaceDN w:val="0"/>
        <w:adjustRightInd w:val="0"/>
        <w:jc w:val="both"/>
      </w:pPr>
      <w:r w:rsidRPr="00B62920">
        <w:t xml:space="preserve">Having </w:t>
      </w:r>
      <w:proofErr w:type="gramStart"/>
      <w:r w:rsidRPr="00B62920">
        <w:t>deliberated,</w:t>
      </w:r>
      <w:proofErr w:type="gramEnd"/>
      <w:r w:rsidRPr="00B62920">
        <w:t xml:space="preserve"> makes the following findings and recommendations:</w:t>
      </w:r>
    </w:p>
    <w:p w:rsidR="00EC2041" w:rsidRPr="00B62920" w:rsidRDefault="00EC2041" w:rsidP="00301DAC">
      <w:pPr>
        <w:autoSpaceDE w:val="0"/>
        <w:jc w:val="both"/>
        <w:rPr>
          <w:lang w:val="en-GB"/>
        </w:rPr>
      </w:pPr>
    </w:p>
    <w:p w:rsidR="00022E69" w:rsidRPr="00B62920" w:rsidRDefault="00022E69" w:rsidP="000F7E70">
      <w:pPr>
        <w:autoSpaceDE w:val="0"/>
        <w:jc w:val="both"/>
        <w:rPr>
          <w:lang w:val="en-GB"/>
        </w:rPr>
      </w:pPr>
    </w:p>
    <w:p w:rsidR="0016154E" w:rsidRPr="00B62920" w:rsidRDefault="0016154E" w:rsidP="00B50188">
      <w:pPr>
        <w:numPr>
          <w:ilvl w:val="0"/>
          <w:numId w:val="1"/>
        </w:numPr>
        <w:suppressAutoHyphens/>
        <w:autoSpaceDE w:val="0"/>
        <w:ind w:left="360" w:hanging="360"/>
        <w:jc w:val="both"/>
        <w:rPr>
          <w:b/>
          <w:bCs/>
          <w:lang w:val="en-GB"/>
        </w:rPr>
      </w:pPr>
      <w:r w:rsidRPr="00B62920">
        <w:rPr>
          <w:b/>
          <w:bCs/>
          <w:lang w:val="en-GB"/>
        </w:rPr>
        <w:t>PROCEEDINGS BEFORE THE PANEL</w:t>
      </w:r>
    </w:p>
    <w:p w:rsidR="00E327E1" w:rsidRPr="00B62920" w:rsidRDefault="00E327E1" w:rsidP="00E327E1">
      <w:pPr>
        <w:pStyle w:val="Default"/>
        <w:ind w:left="360"/>
        <w:jc w:val="both"/>
        <w:rPr>
          <w:color w:val="auto"/>
          <w:lang w:val="en-GB"/>
        </w:rPr>
      </w:pPr>
    </w:p>
    <w:p w:rsidR="00093691" w:rsidRPr="00B62920" w:rsidRDefault="00093691" w:rsidP="00093691">
      <w:pPr>
        <w:pStyle w:val="Default"/>
        <w:numPr>
          <w:ilvl w:val="0"/>
          <w:numId w:val="2"/>
        </w:numPr>
        <w:jc w:val="both"/>
      </w:pPr>
      <w:r w:rsidRPr="00B62920">
        <w:t>T</w:t>
      </w:r>
      <w:r w:rsidR="00952086" w:rsidRPr="00B62920">
        <w:t>he complaint was introduced on 3</w:t>
      </w:r>
      <w:r w:rsidRPr="00B62920">
        <w:t xml:space="preserve"> April 2009 and registered on 30 April 2009. </w:t>
      </w:r>
    </w:p>
    <w:p w:rsidR="00093691" w:rsidRPr="00B62920" w:rsidRDefault="00093691" w:rsidP="00093691">
      <w:pPr>
        <w:jc w:val="both"/>
      </w:pPr>
    </w:p>
    <w:p w:rsidR="00093691" w:rsidRPr="00B62920" w:rsidRDefault="00952086" w:rsidP="00952086">
      <w:pPr>
        <w:pStyle w:val="Default"/>
        <w:numPr>
          <w:ilvl w:val="0"/>
          <w:numId w:val="2"/>
        </w:numPr>
        <w:jc w:val="both"/>
        <w:rPr>
          <w:lang w:val="en-GB"/>
        </w:rPr>
      </w:pPr>
      <w:r w:rsidRPr="00B62920">
        <w:rPr>
          <w:lang w:val="en-GB"/>
        </w:rPr>
        <w:t>On 23 December 2009 and 24 November 2010, the Panel requested further information from the complainant. No response was received.</w:t>
      </w:r>
    </w:p>
    <w:p w:rsidR="002E0AF3" w:rsidRPr="00B62920" w:rsidRDefault="002E0AF3" w:rsidP="008A0B27">
      <w:pPr>
        <w:pStyle w:val="Default"/>
        <w:ind w:left="360"/>
        <w:jc w:val="both"/>
        <w:rPr>
          <w:lang w:val="en-GB"/>
        </w:rPr>
      </w:pPr>
    </w:p>
    <w:p w:rsidR="002E0AF3" w:rsidRPr="00B62920" w:rsidRDefault="00952086" w:rsidP="00284A77">
      <w:pPr>
        <w:numPr>
          <w:ilvl w:val="0"/>
          <w:numId w:val="2"/>
        </w:numPr>
        <w:jc w:val="both"/>
        <w:rPr>
          <w:b/>
          <w:lang w:val="en-GB"/>
        </w:rPr>
      </w:pPr>
      <w:r w:rsidRPr="00B62920">
        <w:rPr>
          <w:lang w:val="en-GB"/>
        </w:rPr>
        <w:t>On 2</w:t>
      </w:r>
      <w:r w:rsidR="00093691" w:rsidRPr="00B62920">
        <w:rPr>
          <w:lang w:val="en-GB"/>
        </w:rPr>
        <w:t xml:space="preserve"> </w:t>
      </w:r>
      <w:r w:rsidRPr="00B62920">
        <w:rPr>
          <w:lang w:val="en-GB"/>
        </w:rPr>
        <w:t>February 2012</w:t>
      </w:r>
      <w:r w:rsidR="008A0B27" w:rsidRPr="00B62920">
        <w:rPr>
          <w:lang w:val="en-GB"/>
        </w:rPr>
        <w:t>,</w:t>
      </w:r>
      <w:r w:rsidR="009A6E2B" w:rsidRPr="00B62920">
        <w:rPr>
          <w:lang w:val="en-GB"/>
        </w:rPr>
        <w:t xml:space="preserve"> </w:t>
      </w:r>
      <w:r w:rsidR="002E0AF3" w:rsidRPr="00B62920">
        <w:rPr>
          <w:lang w:val="en-GB"/>
        </w:rPr>
        <w:t>the complaint was communicated to the Special Representative of the Secretary-General (SRSG)</w:t>
      </w:r>
      <w:r w:rsidR="00022E69" w:rsidRPr="00B62920">
        <w:rPr>
          <w:rStyle w:val="FootnoteReference"/>
          <w:lang w:val="en-GB"/>
        </w:rPr>
        <w:footnoteReference w:id="1"/>
      </w:r>
      <w:r w:rsidR="002E0AF3" w:rsidRPr="00B62920">
        <w:rPr>
          <w:lang w:val="en-GB"/>
        </w:rPr>
        <w:t>, for UNMIK’s comments on the admi</w:t>
      </w:r>
      <w:r w:rsidR="00647FB1" w:rsidRPr="00B62920">
        <w:rPr>
          <w:lang w:val="en-GB"/>
        </w:rPr>
        <w:t xml:space="preserve">ssibility of the complaint. On </w:t>
      </w:r>
      <w:r w:rsidRPr="00B62920">
        <w:t>2</w:t>
      </w:r>
      <w:r w:rsidR="008A0B27" w:rsidRPr="00B62920">
        <w:t xml:space="preserve"> </w:t>
      </w:r>
      <w:r w:rsidRPr="00B62920">
        <w:t>March 2012</w:t>
      </w:r>
      <w:r w:rsidR="002E0AF3" w:rsidRPr="00B62920">
        <w:rPr>
          <w:lang w:val="en-GB"/>
        </w:rPr>
        <w:t xml:space="preserve">, </w:t>
      </w:r>
      <w:r w:rsidR="00E35F59" w:rsidRPr="00B62920">
        <w:rPr>
          <w:lang w:val="en-GB"/>
        </w:rPr>
        <w:t>the SRSG submitted UNMIK’s</w:t>
      </w:r>
      <w:r w:rsidR="002E0AF3" w:rsidRPr="00B62920">
        <w:rPr>
          <w:lang w:val="en-GB"/>
        </w:rPr>
        <w:t xml:space="preserve"> response. </w:t>
      </w:r>
    </w:p>
    <w:p w:rsidR="00E327E1" w:rsidRPr="00B62920" w:rsidRDefault="00E327E1" w:rsidP="00647FB1">
      <w:pPr>
        <w:rPr>
          <w:lang w:val="en-GB"/>
        </w:rPr>
      </w:pPr>
    </w:p>
    <w:p w:rsidR="00E327E1" w:rsidRPr="00B62920" w:rsidRDefault="00E327E1" w:rsidP="00B50188">
      <w:pPr>
        <w:numPr>
          <w:ilvl w:val="0"/>
          <w:numId w:val="2"/>
        </w:numPr>
        <w:jc w:val="both"/>
        <w:rPr>
          <w:b/>
          <w:lang w:val="en-GB"/>
        </w:rPr>
      </w:pPr>
      <w:r w:rsidRPr="00B62920">
        <w:rPr>
          <w:lang w:val="en-GB"/>
        </w:rPr>
        <w:t xml:space="preserve">On </w:t>
      </w:r>
      <w:r w:rsidR="00C201C7" w:rsidRPr="00B62920">
        <w:rPr>
          <w:lang w:val="en-GB"/>
        </w:rPr>
        <w:t>10</w:t>
      </w:r>
      <w:r w:rsidR="009A6E2B" w:rsidRPr="00B62920">
        <w:rPr>
          <w:lang w:val="en-GB"/>
        </w:rPr>
        <w:t xml:space="preserve"> </w:t>
      </w:r>
      <w:r w:rsidR="00952086" w:rsidRPr="00B62920">
        <w:rPr>
          <w:lang w:val="en-GB"/>
        </w:rPr>
        <w:t>May</w:t>
      </w:r>
      <w:r w:rsidR="008A0B27" w:rsidRPr="00B62920">
        <w:rPr>
          <w:lang w:val="en-GB"/>
        </w:rPr>
        <w:t xml:space="preserve"> </w:t>
      </w:r>
      <w:r w:rsidRPr="00B62920">
        <w:rPr>
          <w:lang w:val="en-GB"/>
        </w:rPr>
        <w:t>201</w:t>
      </w:r>
      <w:r w:rsidR="00991DCC" w:rsidRPr="00B62920">
        <w:rPr>
          <w:lang w:val="en-GB"/>
        </w:rPr>
        <w:t>2</w:t>
      </w:r>
      <w:r w:rsidRPr="00B62920">
        <w:rPr>
          <w:lang w:val="en-GB"/>
        </w:rPr>
        <w:t>, t</w:t>
      </w:r>
      <w:r w:rsidR="007766DD" w:rsidRPr="00B62920">
        <w:rPr>
          <w:lang w:val="en-GB"/>
        </w:rPr>
        <w:t>he Panel declared the complaint</w:t>
      </w:r>
      <w:r w:rsidRPr="00B62920">
        <w:rPr>
          <w:lang w:val="en-GB"/>
        </w:rPr>
        <w:t xml:space="preserve"> admissible</w:t>
      </w:r>
      <w:r w:rsidR="004865D9" w:rsidRPr="00B62920">
        <w:t>.</w:t>
      </w:r>
    </w:p>
    <w:p w:rsidR="00E327E1" w:rsidRPr="00B62920" w:rsidRDefault="00E327E1" w:rsidP="00E327E1">
      <w:pPr>
        <w:pStyle w:val="Default"/>
        <w:ind w:left="360"/>
        <w:jc w:val="both"/>
        <w:rPr>
          <w:color w:val="auto"/>
          <w:lang w:val="en-GB"/>
        </w:rPr>
      </w:pPr>
    </w:p>
    <w:p w:rsidR="003A4BA6" w:rsidRPr="00B62920" w:rsidRDefault="00F855B3" w:rsidP="003A4BA6">
      <w:pPr>
        <w:widowControl w:val="0"/>
        <w:numPr>
          <w:ilvl w:val="0"/>
          <w:numId w:val="2"/>
        </w:numPr>
        <w:tabs>
          <w:tab w:val="left" w:pos="1080"/>
        </w:tabs>
        <w:suppressAutoHyphens/>
        <w:jc w:val="both"/>
        <w:rPr>
          <w:lang w:val="en-GB"/>
        </w:rPr>
      </w:pPr>
      <w:r w:rsidRPr="00B62920">
        <w:rPr>
          <w:lang w:val="en-GB"/>
        </w:rPr>
        <w:t xml:space="preserve">On </w:t>
      </w:r>
      <w:r w:rsidR="00C201C7" w:rsidRPr="00B62920">
        <w:rPr>
          <w:lang w:val="en-GB"/>
        </w:rPr>
        <w:t>17</w:t>
      </w:r>
      <w:r w:rsidR="00ED668C" w:rsidRPr="00B62920">
        <w:rPr>
          <w:lang w:val="en-GB"/>
        </w:rPr>
        <w:t xml:space="preserve"> </w:t>
      </w:r>
      <w:r w:rsidR="00C201C7" w:rsidRPr="00B62920">
        <w:rPr>
          <w:lang w:val="en-GB"/>
        </w:rPr>
        <w:t xml:space="preserve">May </w:t>
      </w:r>
      <w:r w:rsidR="00093691" w:rsidRPr="00B62920">
        <w:rPr>
          <w:lang w:val="en-GB"/>
        </w:rPr>
        <w:t>2012</w:t>
      </w:r>
      <w:r w:rsidR="00E327E1" w:rsidRPr="00B62920">
        <w:rPr>
          <w:lang w:val="en-GB"/>
        </w:rPr>
        <w:t xml:space="preserve">, </w:t>
      </w:r>
      <w:r w:rsidRPr="00B62920">
        <w:rPr>
          <w:lang w:val="en-GB"/>
        </w:rPr>
        <w:t>the Panel forwarded its decision to the SRSG requesting UNMIK’s comments on the merits of the complaint</w:t>
      </w:r>
      <w:r w:rsidR="00672847" w:rsidRPr="00B62920">
        <w:rPr>
          <w:lang w:val="en-GB"/>
        </w:rPr>
        <w:t>, as well as copies of the investigative files relevant to the case</w:t>
      </w:r>
      <w:r w:rsidR="00B807FD" w:rsidRPr="00B62920">
        <w:rPr>
          <w:lang w:val="en-GB"/>
        </w:rPr>
        <w:t>.</w:t>
      </w:r>
      <w:r w:rsidR="003A4BA6" w:rsidRPr="00B62920">
        <w:rPr>
          <w:lang w:val="en-GB"/>
        </w:rPr>
        <w:t xml:space="preserve"> </w:t>
      </w:r>
    </w:p>
    <w:p w:rsidR="003A4BA6" w:rsidRPr="00B62920" w:rsidRDefault="003A4BA6" w:rsidP="003A4BA6">
      <w:pPr>
        <w:widowControl w:val="0"/>
        <w:tabs>
          <w:tab w:val="left" w:pos="1080"/>
        </w:tabs>
        <w:suppressAutoHyphens/>
        <w:jc w:val="both"/>
        <w:rPr>
          <w:lang w:val="en-GB"/>
        </w:rPr>
      </w:pPr>
    </w:p>
    <w:p w:rsidR="003A4BA6" w:rsidRPr="00B62920" w:rsidRDefault="00C201C7" w:rsidP="003A4BA6">
      <w:pPr>
        <w:widowControl w:val="0"/>
        <w:numPr>
          <w:ilvl w:val="0"/>
          <w:numId w:val="2"/>
        </w:numPr>
        <w:tabs>
          <w:tab w:val="left" w:pos="1080"/>
        </w:tabs>
        <w:suppressAutoHyphens/>
        <w:jc w:val="both"/>
        <w:rPr>
          <w:lang w:val="en-GB"/>
        </w:rPr>
      </w:pPr>
      <w:bookmarkStart w:id="1" w:name="_Ref414013744"/>
      <w:r w:rsidRPr="00B62920">
        <w:rPr>
          <w:lang w:val="en-GB"/>
        </w:rPr>
        <w:t>On 11</w:t>
      </w:r>
      <w:r w:rsidR="009A6E2B" w:rsidRPr="00B62920">
        <w:rPr>
          <w:lang w:val="en-GB"/>
        </w:rPr>
        <w:t xml:space="preserve"> </w:t>
      </w:r>
      <w:r w:rsidRPr="00B62920">
        <w:rPr>
          <w:lang w:val="en-GB"/>
        </w:rPr>
        <w:t>February</w:t>
      </w:r>
      <w:r w:rsidR="008A0B27" w:rsidRPr="00B62920">
        <w:rPr>
          <w:lang w:val="en-GB"/>
        </w:rPr>
        <w:t xml:space="preserve"> </w:t>
      </w:r>
      <w:r w:rsidR="003A4BA6" w:rsidRPr="00B62920">
        <w:rPr>
          <w:lang w:val="en-GB"/>
        </w:rPr>
        <w:t>2013, the SRSG provided UNMIK’s comments on the merits of the complaint, together with copies of the investigative files.</w:t>
      </w:r>
      <w:bookmarkEnd w:id="1"/>
    </w:p>
    <w:p w:rsidR="003A4BA6" w:rsidRPr="00B62920" w:rsidRDefault="003A4BA6" w:rsidP="003A4BA6">
      <w:pPr>
        <w:pStyle w:val="ListParagraph"/>
        <w:rPr>
          <w:lang w:val="en-GB"/>
        </w:rPr>
      </w:pPr>
    </w:p>
    <w:p w:rsidR="003A4BA6" w:rsidRPr="00B62920" w:rsidRDefault="001F22FD" w:rsidP="003A4BA6">
      <w:pPr>
        <w:pStyle w:val="Default"/>
        <w:numPr>
          <w:ilvl w:val="0"/>
          <w:numId w:val="2"/>
        </w:numPr>
        <w:jc w:val="both"/>
        <w:rPr>
          <w:color w:val="auto"/>
          <w:lang w:val="en-GB"/>
        </w:rPr>
      </w:pPr>
      <w:bookmarkStart w:id="2" w:name="_Ref414013761"/>
      <w:r w:rsidRPr="00B62920">
        <w:rPr>
          <w:color w:val="auto"/>
          <w:lang w:val="en-GB"/>
        </w:rPr>
        <w:t>On 15</w:t>
      </w:r>
      <w:r w:rsidR="009A6E2B" w:rsidRPr="00B62920">
        <w:rPr>
          <w:color w:val="auto"/>
          <w:lang w:val="en-GB"/>
        </w:rPr>
        <w:t xml:space="preserve"> </w:t>
      </w:r>
      <w:r w:rsidR="00093691" w:rsidRPr="00B62920">
        <w:rPr>
          <w:color w:val="auto"/>
          <w:lang w:val="en-GB"/>
        </w:rPr>
        <w:t>May</w:t>
      </w:r>
      <w:r w:rsidR="003A4BA6" w:rsidRPr="00B62920">
        <w:rPr>
          <w:color w:val="auto"/>
          <w:lang w:val="en-GB"/>
        </w:rPr>
        <w:t xml:space="preserve"> 2015, the Panel requested UNMIK to confirm if the disclosure of files concerning the case</w:t>
      </w:r>
      <w:r w:rsidR="00445981" w:rsidRPr="00B62920">
        <w:rPr>
          <w:color w:val="auto"/>
          <w:lang w:val="en-GB"/>
        </w:rPr>
        <w:t xml:space="preserve"> </w:t>
      </w:r>
      <w:r w:rsidR="008A0B27" w:rsidRPr="00B62920">
        <w:rPr>
          <w:color w:val="auto"/>
          <w:lang w:val="en-GB"/>
        </w:rPr>
        <w:t xml:space="preserve">could be considered final. On </w:t>
      </w:r>
      <w:r w:rsidRPr="00B62920">
        <w:rPr>
          <w:color w:val="auto"/>
          <w:lang w:val="en-GB"/>
        </w:rPr>
        <w:t>18</w:t>
      </w:r>
      <w:r w:rsidR="003A4BA6" w:rsidRPr="00B62920">
        <w:rPr>
          <w:color w:val="auto"/>
          <w:lang w:val="en-GB"/>
        </w:rPr>
        <w:t xml:space="preserve"> </w:t>
      </w:r>
      <w:r w:rsidRPr="00B62920">
        <w:rPr>
          <w:color w:val="auto"/>
          <w:lang w:val="en-GB"/>
        </w:rPr>
        <w:t xml:space="preserve">May </w:t>
      </w:r>
      <w:r w:rsidR="003A4BA6" w:rsidRPr="00B62920">
        <w:rPr>
          <w:color w:val="auto"/>
          <w:lang w:val="en-GB"/>
        </w:rPr>
        <w:t>2015, UNMIK provided its response.</w:t>
      </w:r>
      <w:bookmarkEnd w:id="2"/>
    </w:p>
    <w:p w:rsidR="00121E9E" w:rsidRPr="00B62920" w:rsidRDefault="00121E9E" w:rsidP="001F3C32">
      <w:pPr>
        <w:rPr>
          <w:lang w:val="en-GB"/>
        </w:rPr>
      </w:pPr>
    </w:p>
    <w:p w:rsidR="00121E9E" w:rsidRPr="00B62920" w:rsidRDefault="00121E9E" w:rsidP="008766C9">
      <w:pPr>
        <w:pStyle w:val="ListParagraph"/>
        <w:rPr>
          <w:lang w:val="en-GB"/>
        </w:rPr>
      </w:pPr>
    </w:p>
    <w:p w:rsidR="000F6E16" w:rsidRPr="00B62920" w:rsidRDefault="007C65E0" w:rsidP="00B50188">
      <w:pPr>
        <w:numPr>
          <w:ilvl w:val="0"/>
          <w:numId w:val="1"/>
        </w:numPr>
        <w:suppressAutoHyphens/>
        <w:autoSpaceDE w:val="0"/>
        <w:ind w:left="360" w:hanging="360"/>
        <w:jc w:val="both"/>
        <w:rPr>
          <w:b/>
          <w:bCs/>
          <w:lang w:val="en-GB"/>
        </w:rPr>
      </w:pPr>
      <w:r w:rsidRPr="00B62920">
        <w:rPr>
          <w:b/>
          <w:bCs/>
          <w:lang w:val="en-GB"/>
        </w:rPr>
        <w:t>THE FACTS</w:t>
      </w:r>
    </w:p>
    <w:p w:rsidR="000F6E16" w:rsidRPr="00B62920" w:rsidRDefault="000F6E16" w:rsidP="000F6E16">
      <w:pPr>
        <w:suppressAutoHyphens/>
        <w:autoSpaceDE w:val="0"/>
        <w:ind w:left="360"/>
        <w:jc w:val="both"/>
        <w:rPr>
          <w:b/>
          <w:bCs/>
          <w:lang w:val="en-GB"/>
        </w:rPr>
      </w:pPr>
    </w:p>
    <w:p w:rsidR="00680EF0" w:rsidRPr="00B62920" w:rsidRDefault="00680EF0" w:rsidP="00B50188">
      <w:pPr>
        <w:numPr>
          <w:ilvl w:val="0"/>
          <w:numId w:val="3"/>
        </w:numPr>
        <w:contextualSpacing/>
        <w:jc w:val="both"/>
        <w:rPr>
          <w:b/>
          <w:lang w:val="en-GB"/>
        </w:rPr>
      </w:pPr>
      <w:r w:rsidRPr="00B62920">
        <w:rPr>
          <w:b/>
          <w:lang w:val="en-GB"/>
        </w:rPr>
        <w:t>General background</w:t>
      </w:r>
      <w:r w:rsidRPr="00B62920">
        <w:rPr>
          <w:rStyle w:val="FootnoteReference"/>
          <w:b/>
          <w:lang w:val="en-GB"/>
        </w:rPr>
        <w:footnoteReference w:id="2"/>
      </w:r>
      <w:r w:rsidRPr="00B62920">
        <w:rPr>
          <w:b/>
          <w:lang w:val="en-GB"/>
        </w:rPr>
        <w:t xml:space="preserve"> </w:t>
      </w:r>
    </w:p>
    <w:p w:rsidR="00680EF0" w:rsidRPr="00B62920" w:rsidRDefault="00680EF0" w:rsidP="00680EF0">
      <w:pPr>
        <w:ind w:left="360"/>
        <w:contextualSpacing/>
        <w:jc w:val="both"/>
        <w:rPr>
          <w:b/>
          <w:lang w:val="en-GB"/>
        </w:rPr>
      </w:pPr>
    </w:p>
    <w:p w:rsidR="00574094" w:rsidRPr="00B62920" w:rsidRDefault="00574094" w:rsidP="00574094">
      <w:pPr>
        <w:pStyle w:val="ListParagraph"/>
        <w:numPr>
          <w:ilvl w:val="0"/>
          <w:numId w:val="2"/>
        </w:numPr>
        <w:jc w:val="both"/>
        <w:rPr>
          <w:lang w:val="en-GB"/>
        </w:rPr>
      </w:pPr>
      <w:r w:rsidRPr="00B62920">
        <w:rPr>
          <w:lang w:val="en-GB"/>
        </w:rPr>
        <w:t>The events at issue took place in the territory of Kosovo</w:t>
      </w:r>
      <w:r w:rsidR="002948A6" w:rsidRPr="00B62920">
        <w:rPr>
          <w:lang w:val="en-GB"/>
        </w:rPr>
        <w:t xml:space="preserve"> </w:t>
      </w:r>
      <w:r w:rsidR="00144AF1" w:rsidRPr="00B62920">
        <w:rPr>
          <w:lang w:val="en-GB"/>
        </w:rPr>
        <w:t xml:space="preserve">shortly </w:t>
      </w:r>
      <w:r w:rsidR="00BC568C" w:rsidRPr="00B62920">
        <w:rPr>
          <w:lang w:val="en-GB"/>
        </w:rPr>
        <w:t>after</w:t>
      </w:r>
      <w:r w:rsidRPr="00B62920">
        <w:rPr>
          <w:lang w:val="en-GB"/>
        </w:rPr>
        <w:t xml:space="preserve"> the establishment in June 1999 of the United Nations Interim Administration Mission in Kosovo (UNMIK).</w:t>
      </w:r>
    </w:p>
    <w:p w:rsidR="00C75A82" w:rsidRPr="00B62920" w:rsidRDefault="00C75A82" w:rsidP="00C75A82">
      <w:pPr>
        <w:tabs>
          <w:tab w:val="left" w:pos="360"/>
        </w:tabs>
        <w:ind w:left="360" w:hanging="360"/>
        <w:jc w:val="both"/>
        <w:rPr>
          <w:lang w:val="en-GB"/>
        </w:rPr>
      </w:pPr>
    </w:p>
    <w:p w:rsidR="00C75A82" w:rsidRPr="00B62920" w:rsidRDefault="00C75A82" w:rsidP="00B50188">
      <w:pPr>
        <w:widowControl w:val="0"/>
        <w:numPr>
          <w:ilvl w:val="0"/>
          <w:numId w:val="2"/>
        </w:numPr>
        <w:tabs>
          <w:tab w:val="left" w:pos="1080"/>
        </w:tabs>
        <w:suppressAutoHyphens/>
        <w:jc w:val="both"/>
        <w:rPr>
          <w:lang w:val="en-GB"/>
        </w:rPr>
      </w:pPr>
      <w:r w:rsidRPr="00B62920">
        <w:rPr>
          <w:lang w:val="en-GB"/>
        </w:rPr>
        <w:t xml:space="preserve">The armed conflict during 1998 and 1999 between the Serbian forces on one side and the Kosovo Liberation Army (KLA) and other Kosovo Albanian armed groups on the other is well documented. Following the failure of international efforts to resolve the conflict, on 23 March 1999, the Secretary General of the North Atlantic Treaty Organisation (NATO) announced the commencement of air strikes against the Federal Republic of Yugoslavia (FRY). The air strikes began on 24 March 1999 and ended on 8 June 1999 when the FRY agreed to withdraw its forces from Kosovo. On 9 June 1999, the International Security Force </w:t>
      </w:r>
      <w:r w:rsidRPr="00B62920">
        <w:rPr>
          <w:lang w:val="en-GB"/>
        </w:rPr>
        <w:lastRenderedPageBreak/>
        <w:t>(KFOR), the FRY and the Republic of Serbia signed a “Military Technical Agreement” by which they agreed on FRY withdrawal from Kosovo and the presence of an international security force following an appropriate UN Security Council Resolution.</w:t>
      </w:r>
    </w:p>
    <w:p w:rsidR="00C75A82" w:rsidRPr="00B62920" w:rsidRDefault="00C75A82" w:rsidP="00C75A82">
      <w:pPr>
        <w:tabs>
          <w:tab w:val="left" w:pos="360"/>
        </w:tabs>
        <w:ind w:left="360" w:hanging="360"/>
        <w:jc w:val="both"/>
        <w:rPr>
          <w:lang w:val="en-GB"/>
        </w:rPr>
      </w:pPr>
    </w:p>
    <w:p w:rsidR="00C75A82" w:rsidRPr="00B62920" w:rsidRDefault="00FE0FB0" w:rsidP="00FE0FB0">
      <w:pPr>
        <w:pStyle w:val="ListParagraph"/>
        <w:numPr>
          <w:ilvl w:val="0"/>
          <w:numId w:val="2"/>
        </w:numPr>
        <w:suppressAutoHyphens w:val="0"/>
        <w:contextualSpacing/>
        <w:jc w:val="both"/>
        <w:rPr>
          <w:lang w:val="en-GB"/>
        </w:rPr>
      </w:pPr>
      <w:bookmarkStart w:id="3" w:name="_Ref373941473"/>
      <w:r w:rsidRPr="00B62920">
        <w:rPr>
          <w:lang w:val="en-GB"/>
        </w:rPr>
        <w:t>O</w:t>
      </w:r>
      <w:r w:rsidR="00C75A82" w:rsidRPr="00B62920">
        <w:rPr>
          <w:lang w:val="en-GB"/>
        </w:rPr>
        <w:t>n 10 June 1999, the UN Security Council adopted Resolution 1244 (1999). Acting under Chapter VII of the UN Charter, the UN Security Council decided upon the deployment of international security and civil presences - KFOR and UNMIK respectively - in the territory of Kosovo.  Pursuant to Security Council Resolution No. 1244 (1999), the UN was vested with full legislative and executive powers for the interim administration of Kosovo, including the administration of justice. KFOR was tasked with establishing “a secure environment in which refugees and displaced persons can return home in safety” and temporarily ensuring “public safety and order” until the international civil presence could take over responsibility for this task. UNMIK comprised four main components or pillars led by the United Nations (civil administration), United Nations High Commissioner for Refugees (humanitarian assistance, which was phased out in June 2000), the OSCE (institution building) and the EU (reconstruction and economic development). Each pillar was placed under the authority of the SRSG. UN Security Council Resolution 1244 (1999) mandated UNMIK to “promote and protect human rights” in Kosovo in accordance with internationally recognised human rights standards.</w:t>
      </w:r>
      <w:bookmarkEnd w:id="3"/>
    </w:p>
    <w:p w:rsidR="00C75A82" w:rsidRPr="00B62920" w:rsidRDefault="00C75A82" w:rsidP="00C75A82">
      <w:pPr>
        <w:tabs>
          <w:tab w:val="left" w:pos="360"/>
        </w:tabs>
        <w:ind w:left="360" w:hanging="360"/>
        <w:jc w:val="both"/>
        <w:rPr>
          <w:lang w:val="en-GB"/>
        </w:rPr>
      </w:pPr>
    </w:p>
    <w:p w:rsidR="00C75A82" w:rsidRPr="00B62920" w:rsidRDefault="00C75A82" w:rsidP="00B50188">
      <w:pPr>
        <w:pStyle w:val="ListParagraph"/>
        <w:numPr>
          <w:ilvl w:val="0"/>
          <w:numId w:val="2"/>
        </w:numPr>
        <w:suppressAutoHyphens w:val="0"/>
        <w:contextualSpacing/>
        <w:jc w:val="both"/>
        <w:rPr>
          <w:lang w:val="en-GB"/>
        </w:rPr>
      </w:pPr>
      <w:r w:rsidRPr="00B62920">
        <w:rPr>
          <w:lang w:val="en-GB"/>
        </w:rPr>
        <w:t xml:space="preserve">Estimates regarding the effect of the conflict on the displacement of the Kosovo Albanian population range from approximately 800,000 to 1.45 million. Following the adoption of Resolution 1244 (1999), the majority of Kosovo Albanians who had fled, or had been forcibly expelled from their houses by the Serbian forces during the conflict, returned to Kosovo. </w:t>
      </w:r>
    </w:p>
    <w:p w:rsidR="00C75A82" w:rsidRPr="00B62920" w:rsidRDefault="00C75A82" w:rsidP="00C75A82">
      <w:pPr>
        <w:pStyle w:val="ListParagraph"/>
        <w:tabs>
          <w:tab w:val="left" w:pos="360"/>
        </w:tabs>
        <w:ind w:left="360" w:hanging="360"/>
        <w:rPr>
          <w:lang w:val="en-GB"/>
        </w:rPr>
      </w:pPr>
    </w:p>
    <w:p w:rsidR="00C75A82" w:rsidRPr="00B62920" w:rsidRDefault="00C75A82" w:rsidP="00B50188">
      <w:pPr>
        <w:pStyle w:val="ListParagraph"/>
        <w:numPr>
          <w:ilvl w:val="0"/>
          <w:numId w:val="2"/>
        </w:numPr>
        <w:suppressAutoHyphens w:val="0"/>
        <w:contextualSpacing/>
        <w:jc w:val="both"/>
        <w:rPr>
          <w:lang w:val="en-GB"/>
        </w:rPr>
      </w:pPr>
      <w:r w:rsidRPr="00B62920">
        <w:rPr>
          <w:lang w:val="en-GB"/>
        </w:rPr>
        <w:t xml:space="preserve">Meanwhile, members of the non-Albanian community – mainly but not exclusively Serbs, Roma and Slavic Muslims – as well as Kosovo Albanians suspected of collaboration with the Serbian authorities, became the target of widespread attacks by Kosovo Albanian armed groups. Current estimates relating to the number of Kosovo Serbs displaced fall within the region of 200,000 to 210,000. Whereas most Kosovo Serbs and other non-Albanians fled to Serbia proper and the neighbouring countries, those remaining behind became victims of systematic killings, abductions, arbitrary detentions, sexual and gender based violence, beatings and harassment. </w:t>
      </w:r>
    </w:p>
    <w:p w:rsidR="00C75A82" w:rsidRPr="00B62920" w:rsidRDefault="00C75A82" w:rsidP="00C75A82">
      <w:pPr>
        <w:pStyle w:val="ListParagraph"/>
        <w:tabs>
          <w:tab w:val="left" w:pos="360"/>
        </w:tabs>
        <w:ind w:left="360" w:hanging="360"/>
        <w:rPr>
          <w:lang w:val="en-GB"/>
        </w:rPr>
      </w:pPr>
    </w:p>
    <w:p w:rsidR="00C75A82" w:rsidRPr="00B62920" w:rsidRDefault="00C75A82" w:rsidP="00B50188">
      <w:pPr>
        <w:pStyle w:val="ListParagraph"/>
        <w:numPr>
          <w:ilvl w:val="0"/>
          <w:numId w:val="2"/>
        </w:numPr>
        <w:suppressAutoHyphens w:val="0"/>
        <w:contextualSpacing/>
        <w:jc w:val="both"/>
        <w:rPr>
          <w:lang w:val="en-GB"/>
        </w:rPr>
      </w:pPr>
      <w:r w:rsidRPr="00B62920">
        <w:rPr>
          <w:lang w:val="en-GB"/>
        </w:rPr>
        <w:t>Although figures remain disputed, it is estimated that more than 15,000 deaths or disappearances occurred during and in the immediate aftermath of the Kosovo conflict (1998-2000). More than 3,000 ethnic Albanians, and about 800 Serbs, Roma and members of other minority communities went missing during this period. More than half of the missing persons had been located and their mortal remains identified</w:t>
      </w:r>
      <w:r w:rsidR="00D5312D" w:rsidRPr="00B62920">
        <w:rPr>
          <w:lang w:val="en-GB"/>
        </w:rPr>
        <w:t xml:space="preserve"> by the end of 2010, while 1,653</w:t>
      </w:r>
      <w:r w:rsidRPr="00B62920">
        <w:rPr>
          <w:lang w:val="en-GB"/>
        </w:rPr>
        <w:t xml:space="preserve"> are listed as still missing by the International Committee of the Red Cross (ICRC) as of </w:t>
      </w:r>
      <w:r w:rsidR="00D5312D" w:rsidRPr="00B62920">
        <w:rPr>
          <w:lang w:val="en-GB"/>
        </w:rPr>
        <w:t>May 2015</w:t>
      </w:r>
      <w:r w:rsidRPr="00B62920">
        <w:rPr>
          <w:lang w:val="en-GB"/>
        </w:rPr>
        <w:t>.</w:t>
      </w:r>
    </w:p>
    <w:p w:rsidR="00C75A82" w:rsidRPr="00B62920" w:rsidRDefault="00C75A82" w:rsidP="00C75A82">
      <w:pPr>
        <w:tabs>
          <w:tab w:val="left" w:pos="360"/>
        </w:tabs>
        <w:ind w:left="360" w:hanging="360"/>
        <w:jc w:val="both"/>
        <w:rPr>
          <w:lang w:val="en-GB"/>
        </w:rPr>
      </w:pPr>
    </w:p>
    <w:p w:rsidR="00C75A82" w:rsidRPr="00B62920" w:rsidRDefault="00C75A82" w:rsidP="00B50188">
      <w:pPr>
        <w:numPr>
          <w:ilvl w:val="0"/>
          <w:numId w:val="2"/>
        </w:numPr>
        <w:jc w:val="both"/>
        <w:rPr>
          <w:lang w:val="en-GB"/>
        </w:rPr>
      </w:pPr>
      <w:r w:rsidRPr="00B62920">
        <w:rPr>
          <w:lang w:val="en-GB"/>
        </w:rPr>
        <w:t xml:space="preserve">As of July 1999, as part of the efforts to restore law enforcement in Kosovo within the framework of the rule of law, the SRSG urged UN member States to support the deployment within the civilian component of UNMIK of 4,718 international police personnel. UNMIK </w:t>
      </w:r>
      <w:r w:rsidRPr="00B62920">
        <w:rPr>
          <w:lang w:val="en-GB"/>
        </w:rPr>
        <w:lastRenderedPageBreak/>
        <w:t xml:space="preserve">Police were tasked with advising KFOR on policing matters until they themselves had sufficient numbers to take full responsibility for law enforcement and to work towards the development of a Kosovo police service. By September 1999, approximately 1,100 international police officers had been deployed to UNMIK.  </w:t>
      </w:r>
    </w:p>
    <w:p w:rsidR="00C75A82" w:rsidRPr="00B62920" w:rsidRDefault="00C75A82" w:rsidP="00C75A82">
      <w:pPr>
        <w:pStyle w:val="ListParagraph"/>
        <w:tabs>
          <w:tab w:val="left" w:pos="360"/>
        </w:tabs>
        <w:ind w:left="360" w:hanging="360"/>
        <w:rPr>
          <w:lang w:val="en-GB"/>
        </w:rPr>
      </w:pPr>
    </w:p>
    <w:p w:rsidR="00C75A82" w:rsidRPr="00B62920" w:rsidRDefault="00C75A82" w:rsidP="00B50188">
      <w:pPr>
        <w:numPr>
          <w:ilvl w:val="0"/>
          <w:numId w:val="2"/>
        </w:numPr>
        <w:jc w:val="both"/>
        <w:rPr>
          <w:lang w:val="en-GB"/>
        </w:rPr>
      </w:pPr>
      <w:bookmarkStart w:id="4" w:name="_Ref346725038"/>
      <w:r w:rsidRPr="00B62920">
        <w:rPr>
          <w:lang w:val="en-GB"/>
        </w:rPr>
        <w:t>By December 2000, the deployment of UNMIK Police was almost complete with 4,400 personnel from 53 different countries, and UNMIK had assumed primacy in law enforcement responsibility in all regions of Kosovo except for Mitrovicë/Mitrovica. According to the 2000 Annual Report of UNMIK Police, 351 kidnappings, 675 murders and 115 rapes had been reported to them in the period between June 1999 and December 2000.</w:t>
      </w:r>
      <w:bookmarkEnd w:id="4"/>
      <w:r w:rsidRPr="00B62920">
        <w:rPr>
          <w:lang w:val="en-GB"/>
        </w:rPr>
        <w:t xml:space="preserve"> </w:t>
      </w:r>
    </w:p>
    <w:p w:rsidR="00C75A82" w:rsidRPr="00B62920" w:rsidRDefault="00C75A82" w:rsidP="00C75A82">
      <w:pPr>
        <w:tabs>
          <w:tab w:val="left" w:pos="360"/>
        </w:tabs>
        <w:ind w:left="360" w:hanging="360"/>
        <w:jc w:val="both"/>
        <w:rPr>
          <w:lang w:val="en-GB"/>
        </w:rPr>
      </w:pPr>
    </w:p>
    <w:p w:rsidR="00C75A82" w:rsidRPr="00B62920" w:rsidRDefault="00C75A82" w:rsidP="00B50188">
      <w:pPr>
        <w:numPr>
          <w:ilvl w:val="0"/>
          <w:numId w:val="2"/>
        </w:numPr>
        <w:jc w:val="both"/>
        <w:rPr>
          <w:lang w:val="en-GB"/>
        </w:rPr>
      </w:pPr>
      <w:bookmarkStart w:id="5" w:name="_Ref346123767"/>
      <w:r w:rsidRPr="00B62920">
        <w:rPr>
          <w:lang w:val="en-GB"/>
        </w:rPr>
        <w:t>Due to the collapse of the administration of justice in Kosovo, UNMIK established in June 1999 an Emergency Justice System. This was composed of a limited number of local judges and prosecutors and was operational until a regular justice system became operative in January 2000. In February 2000, UNMIK authorised the appointment of international judges and prosecutors, initially in the Mitrovicë/Mitrovica region and later across Kosovo, to strengthen the local justice system and to guarantee its impartiality. As of October 2002, the local justice system comprised 341 local and 24 international judges and prosecutors. In January 2003, the UN Secretary-General reporting to the Security Council on the implementation of Resolution 1244 (1999) defined the police and justice system in Kosovo at that moment as being “well-functioning” and “sustainable”.</w:t>
      </w:r>
      <w:bookmarkEnd w:id="5"/>
      <w:r w:rsidRPr="00B62920">
        <w:rPr>
          <w:lang w:val="en-GB"/>
        </w:rPr>
        <w:t xml:space="preserve"> </w:t>
      </w:r>
    </w:p>
    <w:p w:rsidR="00C75A82" w:rsidRPr="00B62920" w:rsidRDefault="00C75A82" w:rsidP="00C75A82">
      <w:pPr>
        <w:tabs>
          <w:tab w:val="left" w:pos="360"/>
        </w:tabs>
        <w:ind w:left="360" w:hanging="360"/>
        <w:jc w:val="both"/>
        <w:rPr>
          <w:lang w:val="en-GB"/>
        </w:rPr>
      </w:pPr>
    </w:p>
    <w:p w:rsidR="00C75A82" w:rsidRPr="00B62920" w:rsidRDefault="00C75A82" w:rsidP="00B50188">
      <w:pPr>
        <w:numPr>
          <w:ilvl w:val="0"/>
          <w:numId w:val="2"/>
        </w:numPr>
        <w:jc w:val="both"/>
        <w:rPr>
          <w:lang w:val="en-GB"/>
        </w:rPr>
      </w:pPr>
      <w:bookmarkStart w:id="6" w:name="_Ref346725040"/>
      <w:r w:rsidRPr="00B62920">
        <w:rPr>
          <w:lang w:val="en-GB"/>
        </w:rPr>
        <w:t xml:space="preserve">In July 1999, the UN Secretary-General reported to the Security Council that UNMIK already considered the issue of missing persons as a particularly acute human rights concern in Kosovo. In November 1999, a Missing Persons Unit (MPU) was established within UNMIK Police, mandated to investigate with respect to either the possible location of missing persons and/or gravesites. The MPU, jointly with the Central Criminal Investigation Unit (CCIU) of UNMIK Police, and later a dedicated War Crimes Investigation Unit (WCIU), were responsible for the criminal aspects of missing </w:t>
      </w:r>
      <w:proofErr w:type="gramStart"/>
      <w:r w:rsidRPr="00B62920">
        <w:rPr>
          <w:lang w:val="en-GB"/>
        </w:rPr>
        <w:t>persons</w:t>
      </w:r>
      <w:proofErr w:type="gramEnd"/>
      <w:r w:rsidRPr="00B62920">
        <w:rPr>
          <w:lang w:val="en-GB"/>
        </w:rPr>
        <w:t xml:space="preserve"> cases in Kosovo. In May 2000, a Victim Recovery and Identification Commission (VRIC) chaired by UNMIK </w:t>
      </w:r>
      <w:proofErr w:type="gramStart"/>
      <w:r w:rsidRPr="00B62920">
        <w:rPr>
          <w:lang w:val="en-GB"/>
        </w:rPr>
        <w:t>was</w:t>
      </w:r>
      <w:proofErr w:type="gramEnd"/>
      <w:r w:rsidRPr="00B62920">
        <w:rPr>
          <w:lang w:val="en-GB"/>
        </w:rPr>
        <w:t xml:space="preserve"> created for the recovery, identification and disposition of mortal remains.</w:t>
      </w:r>
      <w:r w:rsidR="00423598" w:rsidRPr="00B62920">
        <w:rPr>
          <w:lang w:val="en-GB"/>
        </w:rPr>
        <w:t xml:space="preserve"> On 5 November 2001, UNMIK signed the UNMIK-FRY Common Document, which among other things reiterated the commitment of solving the fate of missing persons from all communities and recognised that the exhumation and identification programme is only part of the activities related to missing persons.</w:t>
      </w:r>
      <w:r w:rsidRPr="00B62920">
        <w:rPr>
          <w:lang w:val="en-GB"/>
        </w:rPr>
        <w:t xml:space="preserve"> As of June 2002, the newly established Office on Missing Persons and Forensics (OMPF) in the UNMIK Department of Justice (DOJ) became the sole authority mandated to determine the whereabouts of missing </w:t>
      </w:r>
      <w:proofErr w:type="gramStart"/>
      <w:r w:rsidRPr="00B62920">
        <w:rPr>
          <w:lang w:val="en-GB"/>
        </w:rPr>
        <w:t>persons,</w:t>
      </w:r>
      <w:proofErr w:type="gramEnd"/>
      <w:r w:rsidRPr="00B62920">
        <w:rPr>
          <w:lang w:val="en-GB"/>
        </w:rPr>
        <w:t xml:space="preserve"> identify their mortal remains and return them to the family of the missing. Starting from 2001, based on a Memorandum of Understanding (MoU) between UNMIK and the Sarajevo-based International Commission of Missing Persons (ICMP), supplemented by a further agreement in 2003, the identification of mortal remains was carried out by the ICMP through DNA testing.</w:t>
      </w:r>
      <w:bookmarkEnd w:id="6"/>
      <w:r w:rsidRPr="00B62920">
        <w:rPr>
          <w:lang w:val="en-GB"/>
        </w:rPr>
        <w:t xml:space="preserve"> </w:t>
      </w:r>
    </w:p>
    <w:p w:rsidR="00C75A82" w:rsidRPr="00B62920" w:rsidRDefault="00C75A82" w:rsidP="00C75A82">
      <w:pPr>
        <w:tabs>
          <w:tab w:val="left" w:pos="360"/>
        </w:tabs>
        <w:ind w:left="360" w:hanging="360"/>
        <w:jc w:val="both"/>
        <w:rPr>
          <w:lang w:val="en-GB"/>
        </w:rPr>
      </w:pPr>
    </w:p>
    <w:p w:rsidR="00C75A82" w:rsidRPr="00B62920" w:rsidRDefault="00C75A82" w:rsidP="00B50188">
      <w:pPr>
        <w:numPr>
          <w:ilvl w:val="0"/>
          <w:numId w:val="2"/>
        </w:numPr>
        <w:jc w:val="both"/>
        <w:rPr>
          <w:lang w:val="en-GB"/>
        </w:rPr>
      </w:pPr>
      <w:bookmarkStart w:id="7" w:name="_Ref346123927"/>
      <w:r w:rsidRPr="00B62920">
        <w:rPr>
          <w:lang w:val="en-GB"/>
        </w:rPr>
        <w:t xml:space="preserve">On 9 December 2008, UNMIK’s responsibility with regard to police and justice in Kosovo ended with the European Union Rule of Law Mission in Kosovo (EULEX) assuming full operational control in the area of the rule of law, following the Statement made by the </w:t>
      </w:r>
      <w:r w:rsidRPr="00B62920">
        <w:rPr>
          <w:lang w:val="en-GB"/>
        </w:rPr>
        <w:lastRenderedPageBreak/>
        <w:t>President of the United Nations Security Council on 26 November 2008 (S/PRST/2008/44), welcoming the continued engagement of the European Union in Kosovo.</w:t>
      </w:r>
      <w:bookmarkEnd w:id="7"/>
    </w:p>
    <w:p w:rsidR="00C75A82" w:rsidRPr="00B62920" w:rsidRDefault="00C75A82" w:rsidP="00C75A82">
      <w:pPr>
        <w:pStyle w:val="ListParagraph"/>
        <w:tabs>
          <w:tab w:val="left" w:pos="360"/>
        </w:tabs>
        <w:ind w:left="360" w:hanging="360"/>
        <w:rPr>
          <w:lang w:val="en-GB"/>
        </w:rPr>
      </w:pPr>
    </w:p>
    <w:p w:rsidR="00680EF0" w:rsidRPr="00B62920" w:rsidRDefault="00C75A82" w:rsidP="00B50188">
      <w:pPr>
        <w:numPr>
          <w:ilvl w:val="0"/>
          <w:numId w:val="2"/>
        </w:numPr>
        <w:jc w:val="both"/>
        <w:rPr>
          <w:lang w:val="en-GB"/>
        </w:rPr>
      </w:pPr>
      <w:bookmarkStart w:id="8" w:name="_Ref346123928"/>
      <w:r w:rsidRPr="00B62920">
        <w:rPr>
          <w:lang w:val="en-GB"/>
        </w:rPr>
        <w:t xml:space="preserve">On the same date, UNMIK and EULEX signed a MoU on the modalities, and the respective rights and obligations arising from the transfer from UNMIK to EULEX of cases and the related files which involved on-going investigations, prosecutions and other activities undertaken by UNMIK International Prosecutors. Shortly thereafter, similar agreements were signed with regard to the files handled by international judges and UNMIK Police. All agreements obliged EULEX to provide to UNMIK access to the documents related to the actions previously undertaken by UNMIK authorities. Between 9 December 2008 and 30 March 2009, all criminal case files held by the UNMIK DOJ and UNMIK Police were </w:t>
      </w:r>
      <w:r w:rsidR="004E415C" w:rsidRPr="00B62920">
        <w:rPr>
          <w:lang w:val="en-GB"/>
        </w:rPr>
        <w:t xml:space="preserve">supposed to be </w:t>
      </w:r>
      <w:r w:rsidRPr="00B62920">
        <w:rPr>
          <w:lang w:val="en-GB"/>
        </w:rPr>
        <w:t>handed over to EULEX.</w:t>
      </w:r>
      <w:bookmarkEnd w:id="8"/>
    </w:p>
    <w:p w:rsidR="00242881" w:rsidRPr="00B62920" w:rsidRDefault="00242881" w:rsidP="00A73D67">
      <w:pPr>
        <w:ind w:left="360"/>
        <w:jc w:val="both"/>
        <w:rPr>
          <w:lang w:val="en-GB"/>
        </w:rPr>
      </w:pPr>
    </w:p>
    <w:p w:rsidR="00647FB1" w:rsidRPr="00B62920" w:rsidRDefault="00A73D67" w:rsidP="00D81EA2">
      <w:pPr>
        <w:pStyle w:val="ListParagraph"/>
        <w:numPr>
          <w:ilvl w:val="0"/>
          <w:numId w:val="3"/>
        </w:numPr>
        <w:autoSpaceDE w:val="0"/>
        <w:jc w:val="both"/>
        <w:rPr>
          <w:lang w:val="en-GB"/>
        </w:rPr>
      </w:pPr>
      <w:r w:rsidRPr="00B62920">
        <w:rPr>
          <w:b/>
          <w:bCs/>
          <w:lang w:val="en-GB"/>
        </w:rPr>
        <w:t>Circumstances surrounding the</w:t>
      </w:r>
      <w:r w:rsidR="008A0B27" w:rsidRPr="00B62920">
        <w:rPr>
          <w:b/>
          <w:bCs/>
          <w:lang w:val="en-GB"/>
        </w:rPr>
        <w:t xml:space="preserve"> </w:t>
      </w:r>
      <w:r w:rsidR="001F0511" w:rsidRPr="00B62920">
        <w:rPr>
          <w:b/>
          <w:bCs/>
          <w:lang w:val="en-GB"/>
        </w:rPr>
        <w:t>disappearance</w:t>
      </w:r>
      <w:r w:rsidR="00E77C72" w:rsidRPr="00B62920">
        <w:rPr>
          <w:b/>
          <w:bCs/>
          <w:lang w:val="en-GB"/>
        </w:rPr>
        <w:t xml:space="preserve"> </w:t>
      </w:r>
      <w:r w:rsidR="00CE1874" w:rsidRPr="00B62920">
        <w:rPr>
          <w:b/>
          <w:bCs/>
          <w:lang w:val="en-GB"/>
        </w:rPr>
        <w:t xml:space="preserve">of </w:t>
      </w:r>
      <w:r w:rsidR="00D81EA2" w:rsidRPr="00B62920">
        <w:rPr>
          <w:b/>
        </w:rPr>
        <w:t>Mr Duško Karanović</w:t>
      </w:r>
    </w:p>
    <w:p w:rsidR="002948A6" w:rsidRPr="00B62920" w:rsidRDefault="002948A6" w:rsidP="002948A6">
      <w:pPr>
        <w:pStyle w:val="ListParagraph"/>
        <w:autoSpaceDE w:val="0"/>
        <w:ind w:left="360"/>
        <w:jc w:val="both"/>
        <w:rPr>
          <w:lang w:val="en-GB"/>
        </w:rPr>
      </w:pPr>
    </w:p>
    <w:p w:rsidR="00093691" w:rsidRPr="00B62920" w:rsidRDefault="00093691" w:rsidP="00093691">
      <w:pPr>
        <w:numPr>
          <w:ilvl w:val="0"/>
          <w:numId w:val="2"/>
        </w:numPr>
        <w:jc w:val="both"/>
        <w:rPr>
          <w:bCs/>
        </w:rPr>
      </w:pPr>
      <w:bookmarkStart w:id="9" w:name="_Ref389154703"/>
      <w:r w:rsidRPr="00B62920">
        <w:t xml:space="preserve">The complainant is the </w:t>
      </w:r>
      <w:r w:rsidR="00D81EA2" w:rsidRPr="00B62920">
        <w:t>sister of Mr Duško Karanović</w:t>
      </w:r>
      <w:r w:rsidRPr="00B62920">
        <w:t>.</w:t>
      </w:r>
    </w:p>
    <w:p w:rsidR="00093691" w:rsidRPr="00B62920" w:rsidRDefault="00093691" w:rsidP="00093691">
      <w:pPr>
        <w:ind w:left="360"/>
        <w:jc w:val="both"/>
        <w:rPr>
          <w:bCs/>
        </w:rPr>
      </w:pPr>
    </w:p>
    <w:p w:rsidR="00D81EA2" w:rsidRPr="00B62920" w:rsidRDefault="00D81EA2" w:rsidP="00D81EA2">
      <w:pPr>
        <w:numPr>
          <w:ilvl w:val="0"/>
          <w:numId w:val="2"/>
        </w:numPr>
        <w:jc w:val="both"/>
      </w:pPr>
      <w:r w:rsidRPr="00B62920">
        <w:t xml:space="preserve">The complainant states that on 13 June 1999, after the Serbian police withdrew from Suharekë/Suva Reka municipality, members of the KLA </w:t>
      </w:r>
      <w:r w:rsidRPr="00B62920">
        <w:rPr>
          <w:lang w:val="en-GB"/>
        </w:rPr>
        <w:t xml:space="preserve">targeted the remaining Serbs and killed them. During the violence, </w:t>
      </w:r>
      <w:r w:rsidRPr="00B62920">
        <w:t xml:space="preserve">Mr Duško </w:t>
      </w:r>
      <w:r w:rsidRPr="00B62920">
        <w:rPr>
          <w:lang w:val="en-GB"/>
        </w:rPr>
        <w:t>Karanović disappeared</w:t>
      </w:r>
      <w:r w:rsidRPr="00B62920">
        <w:t xml:space="preserve"> and</w:t>
      </w:r>
      <w:r w:rsidRPr="00B62920">
        <w:rPr>
          <w:bCs/>
          <w:lang w:val="en-GB"/>
        </w:rPr>
        <w:t xml:space="preserve"> </w:t>
      </w:r>
      <w:r w:rsidRPr="00B62920">
        <w:t>since that time his</w:t>
      </w:r>
      <w:r w:rsidRPr="00B62920">
        <w:rPr>
          <w:lang w:val="en-GB"/>
        </w:rPr>
        <w:t xml:space="preserve"> </w:t>
      </w:r>
      <w:r w:rsidRPr="00B62920">
        <w:t>whereabouts have remained unknown.</w:t>
      </w:r>
    </w:p>
    <w:p w:rsidR="003A4BA6" w:rsidRPr="00B62920" w:rsidRDefault="003A4BA6" w:rsidP="008A0B27">
      <w:pPr>
        <w:ind w:left="360"/>
        <w:jc w:val="both"/>
      </w:pPr>
    </w:p>
    <w:p w:rsidR="0054256C" w:rsidRPr="00B62920" w:rsidRDefault="003A4BA6" w:rsidP="0054256C">
      <w:pPr>
        <w:numPr>
          <w:ilvl w:val="0"/>
          <w:numId w:val="2"/>
        </w:numPr>
        <w:jc w:val="both"/>
        <w:rPr>
          <w:lang w:val="en-GB"/>
        </w:rPr>
      </w:pPr>
      <w:r w:rsidRPr="00B62920">
        <w:t>The complainant states that the d</w:t>
      </w:r>
      <w:r w:rsidR="008A0B27" w:rsidRPr="00B62920">
        <w:t>isappearance was reported to the ICRC</w:t>
      </w:r>
      <w:r w:rsidR="00093691" w:rsidRPr="00B62920">
        <w:t>,</w:t>
      </w:r>
      <w:r w:rsidR="008A0B27" w:rsidRPr="00B62920">
        <w:t xml:space="preserve"> </w:t>
      </w:r>
      <w:r w:rsidR="00D81EA2" w:rsidRPr="00B62920">
        <w:rPr>
          <w:lang w:val="en-GB"/>
        </w:rPr>
        <w:t>KFOR</w:t>
      </w:r>
      <w:r w:rsidR="0054256C" w:rsidRPr="00B62920">
        <w:rPr>
          <w:lang w:val="en-GB"/>
        </w:rPr>
        <w:t xml:space="preserve">, </w:t>
      </w:r>
      <w:r w:rsidR="00D81EA2" w:rsidRPr="00B62920">
        <w:rPr>
          <w:lang w:val="en-GB"/>
        </w:rPr>
        <w:t xml:space="preserve">the Yugoslav Red Cross, </w:t>
      </w:r>
      <w:proofErr w:type="gramStart"/>
      <w:r w:rsidR="00D81EA2" w:rsidRPr="00B62920">
        <w:rPr>
          <w:lang w:val="en-GB"/>
        </w:rPr>
        <w:t>the</w:t>
      </w:r>
      <w:proofErr w:type="gramEnd"/>
      <w:r w:rsidR="00D81EA2" w:rsidRPr="00B62920">
        <w:rPr>
          <w:lang w:val="en-GB"/>
        </w:rPr>
        <w:t xml:space="preserve"> Serbian Ministry of Justi</w:t>
      </w:r>
      <w:r w:rsidR="00F27755" w:rsidRPr="00B62920">
        <w:rPr>
          <w:lang w:val="en-GB"/>
        </w:rPr>
        <w:t>ce, the Humanitarian Law Centre</w:t>
      </w:r>
      <w:r w:rsidR="00D81EA2" w:rsidRPr="00B62920">
        <w:rPr>
          <w:lang w:val="en-GB"/>
        </w:rPr>
        <w:t xml:space="preserve"> and the Centre for Peace and Tolerance.</w:t>
      </w:r>
      <w:bookmarkStart w:id="10" w:name="_Ref414014820"/>
    </w:p>
    <w:p w:rsidR="0054256C" w:rsidRPr="00B62920" w:rsidRDefault="0054256C" w:rsidP="0054256C">
      <w:pPr>
        <w:pStyle w:val="ListParagraph"/>
        <w:rPr>
          <w:lang w:val="en-GB"/>
        </w:rPr>
      </w:pPr>
    </w:p>
    <w:p w:rsidR="0054256C" w:rsidRPr="00B62920" w:rsidRDefault="00042D53" w:rsidP="00D64ACA">
      <w:pPr>
        <w:numPr>
          <w:ilvl w:val="0"/>
          <w:numId w:val="2"/>
        </w:numPr>
        <w:jc w:val="both"/>
        <w:rPr>
          <w:lang w:val="en-GB"/>
        </w:rPr>
      </w:pPr>
      <w:r w:rsidRPr="00B62920">
        <w:rPr>
          <w:lang w:val="en-GB"/>
        </w:rPr>
        <w:t>On 21 February 2000</w:t>
      </w:r>
      <w:r w:rsidR="003A4BA6" w:rsidRPr="00B62920">
        <w:t xml:space="preserve">, the ICRC opened a tracing request for </w:t>
      </w:r>
      <w:r w:rsidR="00E30E64" w:rsidRPr="00B62920">
        <w:t xml:space="preserve">Mr Duško </w:t>
      </w:r>
      <w:r w:rsidR="00E30E64" w:rsidRPr="00B62920">
        <w:rPr>
          <w:lang w:val="en-GB"/>
        </w:rPr>
        <w:t>Karanović</w:t>
      </w:r>
      <w:r w:rsidR="00AA7E95" w:rsidRPr="00B62920">
        <w:rPr>
          <w:lang w:val="en-GB"/>
        </w:rPr>
        <w:t>,</w:t>
      </w:r>
      <w:r w:rsidR="00E30E64" w:rsidRPr="00B62920">
        <w:rPr>
          <w:lang w:val="en-GB"/>
        </w:rPr>
        <w:t xml:space="preserve">      </w:t>
      </w:r>
      <w:r w:rsidR="0054256C" w:rsidRPr="00B62920">
        <w:rPr>
          <w:lang w:val="en-GB"/>
        </w:rPr>
        <w:t xml:space="preserve"> </w:t>
      </w:r>
      <w:r w:rsidR="00E30E64" w:rsidRPr="00B62920">
        <w:rPr>
          <w:lang w:val="en-GB"/>
        </w:rPr>
        <w:t xml:space="preserve">                                                                                                                                                                                                                                                                                                                                                                                                                                                                                                                    </w:t>
      </w:r>
      <w:r w:rsidR="003A4BA6" w:rsidRPr="00B62920">
        <w:t xml:space="preserve"> which remains open</w:t>
      </w:r>
      <w:r w:rsidR="00243A63" w:rsidRPr="00B62920">
        <w:t>.</w:t>
      </w:r>
      <w:r w:rsidR="003A4BA6" w:rsidRPr="00B62920">
        <w:rPr>
          <w:rStyle w:val="FootnoteReference"/>
        </w:rPr>
        <w:footnoteReference w:id="3"/>
      </w:r>
      <w:r w:rsidR="003A4BA6" w:rsidRPr="00B62920">
        <w:t xml:space="preserve"> </w:t>
      </w:r>
      <w:r w:rsidR="0054256C" w:rsidRPr="00B62920">
        <w:t>Likewise, his name</w:t>
      </w:r>
      <w:r w:rsidR="0054256C" w:rsidRPr="00B62920">
        <w:rPr>
          <w:lang w:val="en-GB"/>
        </w:rPr>
        <w:t xml:space="preserve"> is included in t</w:t>
      </w:r>
      <w:r w:rsidR="0054256C" w:rsidRPr="00B62920">
        <w:rPr>
          <w:bCs/>
          <w:lang w:val="en-GB"/>
        </w:rPr>
        <w:t xml:space="preserve">he list of missing persons, which was forwarded by the ICRC to UNMIK on 12 October 2001, for whom the ICRC had collected ante-mortem data in Serbia proper, between 1 July and 20 September 2001, </w:t>
      </w:r>
      <w:r w:rsidR="0054256C" w:rsidRPr="00B62920">
        <w:rPr>
          <w:lang w:val="en-GB"/>
        </w:rPr>
        <w:t>as well as in the database compiled by the UNMIK OMPF</w:t>
      </w:r>
      <w:r w:rsidR="00E35F59" w:rsidRPr="00B62920">
        <w:rPr>
          <w:rStyle w:val="FootnoteReference"/>
          <w:bCs/>
          <w:lang w:val="en-GB"/>
        </w:rPr>
        <w:footnoteReference w:id="4"/>
      </w:r>
      <w:r w:rsidR="00E35F59" w:rsidRPr="00B62920">
        <w:rPr>
          <w:bCs/>
          <w:lang w:val="en-GB"/>
        </w:rPr>
        <w:t>.</w:t>
      </w:r>
      <w:bookmarkEnd w:id="9"/>
      <w:bookmarkEnd w:id="10"/>
      <w:r w:rsidR="003A4BA6" w:rsidRPr="00B62920">
        <w:rPr>
          <w:bCs/>
          <w:lang w:val="en-GB"/>
        </w:rPr>
        <w:t xml:space="preserve"> </w:t>
      </w:r>
      <w:r w:rsidR="0054256C" w:rsidRPr="00B62920">
        <w:rPr>
          <w:bCs/>
          <w:lang w:val="en-GB"/>
        </w:rPr>
        <w:t xml:space="preserve">The entry in relation to </w:t>
      </w:r>
      <w:r w:rsidR="0054256C" w:rsidRPr="00B62920">
        <w:t xml:space="preserve">Mr Duško </w:t>
      </w:r>
      <w:r w:rsidR="0054256C" w:rsidRPr="00B62920">
        <w:rPr>
          <w:lang w:val="en-GB"/>
        </w:rPr>
        <w:t xml:space="preserve">Karanović </w:t>
      </w:r>
      <w:r w:rsidR="0054256C" w:rsidRPr="00B62920">
        <w:rPr>
          <w:bCs/>
          <w:lang w:val="en-GB"/>
        </w:rPr>
        <w:t xml:space="preserve">in the </w:t>
      </w:r>
      <w:r w:rsidR="0054256C" w:rsidRPr="00B62920">
        <w:rPr>
          <w:lang w:val="en-GB"/>
        </w:rPr>
        <w:t>online database maintained by the ICMP</w:t>
      </w:r>
      <w:r w:rsidR="0054256C" w:rsidRPr="00B62920">
        <w:rPr>
          <w:vertAlign w:val="superscript"/>
          <w:lang w:val="en-GB"/>
        </w:rPr>
        <w:footnoteReference w:id="5"/>
      </w:r>
      <w:r w:rsidR="0054256C" w:rsidRPr="00B62920">
        <w:rPr>
          <w:lang w:val="en-GB"/>
        </w:rPr>
        <w:t xml:space="preserve"> gives 13 June 1999 as his date of disappearance and reads in other relevant fields: “Not Enough Reference Samples Collected” and “DNA Match Not Found”.</w:t>
      </w:r>
    </w:p>
    <w:p w:rsidR="00093691" w:rsidRPr="00B62920" w:rsidRDefault="00093691" w:rsidP="00093691">
      <w:pPr>
        <w:jc w:val="both"/>
      </w:pPr>
    </w:p>
    <w:p w:rsidR="00D64ACA" w:rsidRPr="00B62920" w:rsidRDefault="00D64ACA" w:rsidP="00D64ACA">
      <w:pPr>
        <w:jc w:val="both"/>
        <w:rPr>
          <w:lang w:val="en-GB"/>
        </w:rPr>
      </w:pPr>
      <w:r w:rsidRPr="00B62920">
        <w:rPr>
          <w:b/>
          <w:lang w:val="en-GB"/>
        </w:rPr>
        <w:t>C. The investigation</w:t>
      </w:r>
    </w:p>
    <w:p w:rsidR="00D142E8" w:rsidRPr="00B62920" w:rsidRDefault="00D142E8" w:rsidP="00D142E8">
      <w:pPr>
        <w:jc w:val="both"/>
        <w:rPr>
          <w:i/>
          <w:lang w:val="en-GB"/>
        </w:rPr>
      </w:pPr>
    </w:p>
    <w:p w:rsidR="00B30D31" w:rsidRPr="00B62920" w:rsidRDefault="00B30D31" w:rsidP="00B30D31">
      <w:pPr>
        <w:pStyle w:val="ListParagraph"/>
        <w:ind w:left="0"/>
        <w:jc w:val="both"/>
        <w:rPr>
          <w:i/>
          <w:lang w:val="en-GB"/>
        </w:rPr>
      </w:pPr>
      <w:bookmarkStart w:id="11" w:name="_Ref347322102"/>
      <w:bookmarkStart w:id="12" w:name="_Ref413845941"/>
      <w:bookmarkStart w:id="13" w:name="_Ref395005257"/>
      <w:r w:rsidRPr="00B62920">
        <w:rPr>
          <w:i/>
          <w:lang w:val="en-GB"/>
        </w:rPr>
        <w:t>Disclosure of relevant files</w:t>
      </w:r>
    </w:p>
    <w:p w:rsidR="00B30D31" w:rsidRPr="00B62920" w:rsidRDefault="00B30D31" w:rsidP="00B30D31">
      <w:pPr>
        <w:pStyle w:val="Default"/>
        <w:suppressAutoHyphens/>
        <w:jc w:val="both"/>
        <w:rPr>
          <w:bCs/>
          <w:lang w:val="en-GB"/>
        </w:rPr>
      </w:pPr>
    </w:p>
    <w:p w:rsidR="00B30D31" w:rsidRPr="00B62920" w:rsidRDefault="00B30D31" w:rsidP="00B30D31">
      <w:pPr>
        <w:pStyle w:val="Default"/>
        <w:numPr>
          <w:ilvl w:val="0"/>
          <w:numId w:val="2"/>
        </w:numPr>
        <w:tabs>
          <w:tab w:val="left" w:pos="360"/>
        </w:tabs>
        <w:suppressAutoHyphens/>
        <w:jc w:val="both"/>
        <w:rPr>
          <w:bCs/>
          <w:lang w:val="en-GB"/>
        </w:rPr>
      </w:pPr>
      <w:bookmarkStart w:id="14" w:name="_Ref365886120"/>
      <w:bookmarkEnd w:id="11"/>
      <w:r w:rsidRPr="00B62920">
        <w:rPr>
          <w:lang w:val="en-GB"/>
        </w:rPr>
        <w:lastRenderedPageBreak/>
        <w:t>On</w:t>
      </w:r>
      <w:bookmarkStart w:id="15" w:name="_Ref348357381"/>
      <w:r w:rsidRPr="00B62920">
        <w:rPr>
          <w:lang w:val="en-GB"/>
        </w:rPr>
        <w:t xml:space="preserve"> </w:t>
      </w:r>
      <w:r w:rsidR="007C59FC" w:rsidRPr="00B62920">
        <w:rPr>
          <w:lang w:val="en-GB"/>
        </w:rPr>
        <w:t>11 February</w:t>
      </w:r>
      <w:r w:rsidRPr="00B62920">
        <w:rPr>
          <w:lang w:val="en-GB"/>
        </w:rPr>
        <w:t xml:space="preserve"> 2013, </w:t>
      </w:r>
      <w:r w:rsidRPr="00B62920">
        <w:rPr>
          <w:bCs/>
          <w:lang w:val="en-GB"/>
        </w:rPr>
        <w:t xml:space="preserve">UNMIK provided to the Panel documents </w:t>
      </w:r>
      <w:r w:rsidRPr="00B62920">
        <w:rPr>
          <w:lang w:val="en-GB"/>
        </w:rPr>
        <w:t>which were held previously by the UNMIK MPU and WCIU. On 18</w:t>
      </w:r>
      <w:r w:rsidRPr="00C47853">
        <w:rPr>
          <w:lang w:val="en-GB"/>
        </w:rPr>
        <w:t xml:space="preserve"> May 2015</w:t>
      </w:r>
      <w:r w:rsidRPr="00B62920">
        <w:rPr>
          <w:lang w:val="en-GB"/>
        </w:rPr>
        <w:t>, UNMIK confirmed to the Panel that all files in UNMIK’s possession have been disclosed.</w:t>
      </w:r>
      <w:bookmarkEnd w:id="14"/>
      <w:bookmarkEnd w:id="15"/>
    </w:p>
    <w:p w:rsidR="00B30D31" w:rsidRPr="00B62920" w:rsidRDefault="00B30D31" w:rsidP="00B30D31">
      <w:pPr>
        <w:pStyle w:val="Default"/>
        <w:suppressAutoHyphens/>
        <w:ind w:left="360"/>
        <w:jc w:val="both"/>
        <w:rPr>
          <w:bCs/>
          <w:lang w:val="en-GB"/>
        </w:rPr>
      </w:pPr>
    </w:p>
    <w:p w:rsidR="00B30D31" w:rsidRPr="00B62920" w:rsidRDefault="00B30D31" w:rsidP="00B30D31">
      <w:pPr>
        <w:widowControl w:val="0"/>
        <w:numPr>
          <w:ilvl w:val="0"/>
          <w:numId w:val="2"/>
        </w:numPr>
        <w:tabs>
          <w:tab w:val="left" w:pos="360"/>
          <w:tab w:val="num" w:pos="630"/>
          <w:tab w:val="left" w:pos="1080"/>
        </w:tabs>
        <w:suppressAutoHyphens/>
        <w:jc w:val="both"/>
        <w:rPr>
          <w:bCs/>
          <w:lang w:val="en-GB"/>
        </w:rPr>
      </w:pPr>
      <w:r w:rsidRPr="00B62920">
        <w:rPr>
          <w:lang w:val="en-GB"/>
        </w:rPr>
        <w:t xml:space="preserve">Concerning disclosure of information contained in the files, the Panel recalls that UNMIK has made available investigative files for the Panel’s review under a pledge of confidentiality. In this regard, the Panel must clarify that although its assessment of the present case stems from a thorough examination of the available documentation, only limited information contained therein is disclosed. Hence a synopsis of relevant investigative steps taken by investigative authorities is provided in the paragraphs to follow.  </w:t>
      </w:r>
    </w:p>
    <w:p w:rsidR="0066519E" w:rsidRPr="00B62920" w:rsidRDefault="0066519E" w:rsidP="00336399">
      <w:pPr>
        <w:rPr>
          <w:bCs/>
          <w:lang w:val="en-GB"/>
        </w:rPr>
      </w:pPr>
    </w:p>
    <w:p w:rsidR="003A4BA6" w:rsidRPr="00B62920" w:rsidRDefault="00336399" w:rsidP="003A4BA6">
      <w:pPr>
        <w:pStyle w:val="ListParagraph"/>
        <w:widowControl w:val="0"/>
        <w:numPr>
          <w:ilvl w:val="0"/>
          <w:numId w:val="2"/>
        </w:numPr>
        <w:tabs>
          <w:tab w:val="left" w:pos="1080"/>
        </w:tabs>
        <w:jc w:val="both"/>
        <w:rPr>
          <w:bCs/>
          <w:lang w:val="en-GB"/>
        </w:rPr>
      </w:pPr>
      <w:bookmarkStart w:id="16" w:name="_Ref419724979"/>
      <w:r w:rsidRPr="00B62920">
        <w:rPr>
          <w:bCs/>
          <w:lang w:val="en-GB"/>
        </w:rPr>
        <w:t>The first</w:t>
      </w:r>
      <w:r w:rsidR="0066519E" w:rsidRPr="00B62920">
        <w:rPr>
          <w:bCs/>
          <w:lang w:val="en-GB"/>
        </w:rPr>
        <w:t xml:space="preserve"> document in the investigative file is </w:t>
      </w:r>
      <w:r w:rsidR="003A4BA6" w:rsidRPr="00B62920">
        <w:rPr>
          <w:bCs/>
          <w:lang w:val="en-GB"/>
        </w:rPr>
        <w:t xml:space="preserve">an </w:t>
      </w:r>
      <w:r w:rsidR="003A4BA6" w:rsidRPr="00B62920">
        <w:rPr>
          <w:lang w:val="en-GB"/>
        </w:rPr>
        <w:t>undated Ante-Mortem Victim Identification Form, af</w:t>
      </w:r>
      <w:r w:rsidR="00093691" w:rsidRPr="00B62920">
        <w:rPr>
          <w:lang w:val="en-GB"/>
        </w:rPr>
        <w:t xml:space="preserve">fixed with the MPU file no. </w:t>
      </w:r>
      <w:r w:rsidR="004D61B9" w:rsidRPr="00B62920">
        <w:rPr>
          <w:lang w:val="en-GB"/>
        </w:rPr>
        <w:t>2000-000281</w:t>
      </w:r>
      <w:r w:rsidR="003A4BA6" w:rsidRPr="00B62920">
        <w:rPr>
          <w:lang w:val="en-GB"/>
        </w:rPr>
        <w:t xml:space="preserve">. Besides containing </w:t>
      </w:r>
      <w:r w:rsidR="003A4BA6" w:rsidRPr="00B62920">
        <w:t xml:space="preserve">the </w:t>
      </w:r>
      <w:r w:rsidR="003A4BA6" w:rsidRPr="00B62920">
        <w:rPr>
          <w:lang w:val="en-GB"/>
        </w:rPr>
        <w:t xml:space="preserve">personal details and ante-mortem description of </w:t>
      </w:r>
      <w:r w:rsidRPr="00B62920">
        <w:t xml:space="preserve">Mr Duško </w:t>
      </w:r>
      <w:r w:rsidRPr="00B62920">
        <w:rPr>
          <w:lang w:val="en-GB"/>
        </w:rPr>
        <w:t>Karanović</w:t>
      </w:r>
      <w:r w:rsidR="003A4BA6" w:rsidRPr="00B62920">
        <w:rPr>
          <w:lang w:val="en-GB"/>
        </w:rPr>
        <w:t>, it provides the name, addr</w:t>
      </w:r>
      <w:r w:rsidRPr="00B62920">
        <w:rPr>
          <w:lang w:val="en-GB"/>
        </w:rPr>
        <w:t>ess and telephone number</w:t>
      </w:r>
      <w:r w:rsidR="009A6E2B" w:rsidRPr="00B62920">
        <w:rPr>
          <w:lang w:val="en-GB"/>
        </w:rPr>
        <w:t xml:space="preserve"> of</w:t>
      </w:r>
      <w:r w:rsidR="00243327" w:rsidRPr="00B62920">
        <w:rPr>
          <w:lang w:val="en-GB"/>
        </w:rPr>
        <w:t xml:space="preserve"> </w:t>
      </w:r>
      <w:r w:rsidR="004D61B9" w:rsidRPr="00B62920">
        <w:rPr>
          <w:lang w:val="en-GB"/>
        </w:rPr>
        <w:t xml:space="preserve">the complainant </w:t>
      </w:r>
      <w:r w:rsidR="00874A40" w:rsidRPr="00B62920">
        <w:rPr>
          <w:lang w:val="en-GB"/>
        </w:rPr>
        <w:t xml:space="preserve">in </w:t>
      </w:r>
      <w:r w:rsidR="00093691" w:rsidRPr="00B62920">
        <w:rPr>
          <w:lang w:val="en-GB"/>
        </w:rPr>
        <w:t>Serbia proper</w:t>
      </w:r>
      <w:r w:rsidR="003A4BA6" w:rsidRPr="00B62920">
        <w:rPr>
          <w:lang w:val="en-GB"/>
        </w:rPr>
        <w:t>.</w:t>
      </w:r>
      <w:bookmarkEnd w:id="12"/>
      <w:bookmarkEnd w:id="16"/>
    </w:p>
    <w:p w:rsidR="00243327" w:rsidRPr="00B62920" w:rsidRDefault="00243327" w:rsidP="00243327">
      <w:pPr>
        <w:pStyle w:val="ListParagraph"/>
        <w:rPr>
          <w:bCs/>
          <w:lang w:val="en-GB"/>
        </w:rPr>
      </w:pPr>
    </w:p>
    <w:p w:rsidR="00243327" w:rsidRPr="00B62920" w:rsidRDefault="00243327" w:rsidP="00243327">
      <w:pPr>
        <w:widowControl w:val="0"/>
        <w:numPr>
          <w:ilvl w:val="0"/>
          <w:numId w:val="2"/>
        </w:numPr>
        <w:tabs>
          <w:tab w:val="left" w:pos="360"/>
          <w:tab w:val="num" w:pos="630"/>
          <w:tab w:val="left" w:pos="1080"/>
        </w:tabs>
        <w:suppressAutoHyphens/>
        <w:jc w:val="both"/>
        <w:rPr>
          <w:lang w:val="en-GB"/>
        </w:rPr>
      </w:pPr>
      <w:bookmarkStart w:id="17" w:name="_Ref411952966"/>
      <w:bookmarkStart w:id="18" w:name="_Ref422824088"/>
      <w:r w:rsidRPr="00B62920">
        <w:rPr>
          <w:lang w:val="en-GB"/>
        </w:rPr>
        <w:t xml:space="preserve">The MPU file contains one undated Case Continuation Report for </w:t>
      </w:r>
      <w:r w:rsidRPr="00B62920">
        <w:t xml:space="preserve">Mr Duško </w:t>
      </w:r>
      <w:r w:rsidRPr="00B62920">
        <w:rPr>
          <w:lang w:val="en-GB"/>
        </w:rPr>
        <w:t>Karanović, affixed with the file no. 200</w:t>
      </w:r>
      <w:r w:rsidR="003A275F" w:rsidRPr="00B62920">
        <w:rPr>
          <w:lang w:val="en-GB"/>
        </w:rPr>
        <w:t>0</w:t>
      </w:r>
      <w:r w:rsidRPr="00B62920">
        <w:rPr>
          <w:lang w:val="en-GB"/>
        </w:rPr>
        <w:t>-000</w:t>
      </w:r>
      <w:r w:rsidR="003A275F" w:rsidRPr="00B62920">
        <w:rPr>
          <w:lang w:val="en-GB"/>
        </w:rPr>
        <w:t>281</w:t>
      </w:r>
      <w:r w:rsidRPr="00B62920">
        <w:rPr>
          <w:lang w:val="en-GB"/>
        </w:rPr>
        <w:t xml:space="preserve">. The Report contains </w:t>
      </w:r>
      <w:r w:rsidR="004D61B9" w:rsidRPr="00B62920">
        <w:rPr>
          <w:lang w:val="en-GB"/>
        </w:rPr>
        <w:t>five</w:t>
      </w:r>
      <w:r w:rsidRPr="00B62920">
        <w:rPr>
          <w:lang w:val="en-GB"/>
        </w:rPr>
        <w:t xml:space="preserve"> inputs</w:t>
      </w:r>
      <w:r w:rsidR="004D61B9" w:rsidRPr="00B62920">
        <w:rPr>
          <w:lang w:val="en-GB"/>
        </w:rPr>
        <w:t>, with dates ranging from 8 May 2000 to 25 May 2002. The first input, dated 8 May 2000, states</w:t>
      </w:r>
      <w:r w:rsidRPr="00B62920">
        <w:rPr>
          <w:lang w:val="en-GB"/>
        </w:rPr>
        <w:t xml:space="preserve"> “input D.B. OK”</w:t>
      </w:r>
      <w:bookmarkEnd w:id="17"/>
      <w:r w:rsidR="004D61B9" w:rsidRPr="00B62920">
        <w:rPr>
          <w:lang w:val="en-GB"/>
        </w:rPr>
        <w:t xml:space="preserve">. The second input, dated 28 June 2000, </w:t>
      </w:r>
      <w:r w:rsidRPr="00B62920">
        <w:rPr>
          <w:lang w:val="en-GB"/>
        </w:rPr>
        <w:t>states “</w:t>
      </w:r>
      <w:r w:rsidR="004D61B9" w:rsidRPr="00B62920">
        <w:rPr>
          <w:lang w:val="en-GB"/>
        </w:rPr>
        <w:t>additional information from ICRC”. The third input, dated 28 December 2001, states “We got information from the internet that Mr. Karanović and his wife Snezana were killed and that bodies were found”. The fourth input, dated 19 January 2001, stat</w:t>
      </w:r>
      <w:r w:rsidR="000F060C" w:rsidRPr="00B62920">
        <w:rPr>
          <w:lang w:val="en-GB"/>
        </w:rPr>
        <w:t>es “Add page from ICRC”. The fif</w:t>
      </w:r>
      <w:r w:rsidR="004D61B9" w:rsidRPr="00B62920">
        <w:rPr>
          <w:lang w:val="en-GB"/>
        </w:rPr>
        <w:t>th input, dated 25 May 2002, states “input DVI OK”</w:t>
      </w:r>
      <w:r w:rsidR="003A275F" w:rsidRPr="00B62920">
        <w:rPr>
          <w:lang w:val="en-GB"/>
        </w:rPr>
        <w:t>.</w:t>
      </w:r>
      <w:bookmarkEnd w:id="18"/>
    </w:p>
    <w:p w:rsidR="00BA1556" w:rsidRPr="00B62920" w:rsidRDefault="00BA1556" w:rsidP="00BA1556">
      <w:pPr>
        <w:pStyle w:val="ListParagraph"/>
        <w:rPr>
          <w:lang w:val="en-GB"/>
        </w:rPr>
      </w:pPr>
    </w:p>
    <w:p w:rsidR="00BA1556" w:rsidRPr="00B62920" w:rsidRDefault="000F060C" w:rsidP="00BA1556">
      <w:pPr>
        <w:widowControl w:val="0"/>
        <w:numPr>
          <w:ilvl w:val="0"/>
          <w:numId w:val="2"/>
        </w:numPr>
        <w:tabs>
          <w:tab w:val="left" w:pos="1080"/>
        </w:tabs>
        <w:suppressAutoHyphens/>
        <w:jc w:val="both"/>
        <w:rPr>
          <w:lang w:val="en-GB"/>
        </w:rPr>
      </w:pPr>
      <w:bookmarkStart w:id="19" w:name="_Ref420334103"/>
      <w:bookmarkStart w:id="20" w:name="_Ref411952415"/>
      <w:r w:rsidRPr="00B62920">
        <w:rPr>
          <w:lang w:val="en-GB"/>
        </w:rPr>
        <w:t>The file also contains two one-page print</w:t>
      </w:r>
      <w:r w:rsidR="00BA1556" w:rsidRPr="00B62920">
        <w:rPr>
          <w:lang w:val="en-GB"/>
        </w:rPr>
        <w:t>out</w:t>
      </w:r>
      <w:r w:rsidRPr="00B62920">
        <w:rPr>
          <w:lang w:val="en-GB"/>
        </w:rPr>
        <w:t>s</w:t>
      </w:r>
      <w:r w:rsidR="00BA1556" w:rsidRPr="00B62920">
        <w:rPr>
          <w:lang w:val="en-GB"/>
        </w:rPr>
        <w:t xml:space="preserve"> from the MPU database labelled “MPU Report”</w:t>
      </w:r>
      <w:r w:rsidRPr="00B62920">
        <w:rPr>
          <w:lang w:val="en-GB"/>
        </w:rPr>
        <w:t>,</w:t>
      </w:r>
      <w:r w:rsidR="00BA1556" w:rsidRPr="00B62920">
        <w:rPr>
          <w:lang w:val="en-GB"/>
        </w:rPr>
        <w:t xml:space="preserve"> the first dated 16 March 2004 and the second </w:t>
      </w:r>
      <w:r w:rsidR="004E4FBD" w:rsidRPr="00B62920">
        <w:rPr>
          <w:lang w:val="en-GB"/>
        </w:rPr>
        <w:t>dated 5 October 2004. The print</w:t>
      </w:r>
      <w:r w:rsidR="00BA1556" w:rsidRPr="00B62920">
        <w:rPr>
          <w:lang w:val="en-GB"/>
        </w:rPr>
        <w:t>out</w:t>
      </w:r>
      <w:r w:rsidR="0085299E" w:rsidRPr="00B62920">
        <w:rPr>
          <w:lang w:val="en-GB"/>
        </w:rPr>
        <w:t xml:space="preserve">s provide </w:t>
      </w:r>
      <w:r w:rsidR="0085299E" w:rsidRPr="00B62920">
        <w:t xml:space="preserve">the </w:t>
      </w:r>
      <w:r w:rsidR="0085299E" w:rsidRPr="00B62920">
        <w:rPr>
          <w:lang w:val="en-GB"/>
        </w:rPr>
        <w:t xml:space="preserve">personal details and ante-mortem description of </w:t>
      </w:r>
      <w:r w:rsidR="0085299E" w:rsidRPr="00B62920">
        <w:t xml:space="preserve">Mr Duško </w:t>
      </w:r>
      <w:r w:rsidR="0085299E" w:rsidRPr="00B62920">
        <w:rPr>
          <w:lang w:val="en-GB"/>
        </w:rPr>
        <w:t>Karanović and</w:t>
      </w:r>
      <w:r w:rsidR="004E4FBD" w:rsidRPr="00B62920">
        <w:rPr>
          <w:lang w:val="en-GB"/>
        </w:rPr>
        <w:t xml:space="preserve"> the </w:t>
      </w:r>
      <w:r w:rsidR="0085299E" w:rsidRPr="00B62920">
        <w:rPr>
          <w:lang w:val="en-GB"/>
        </w:rPr>
        <w:t>date of</w:t>
      </w:r>
      <w:r w:rsidR="004E4FBD" w:rsidRPr="00B62920">
        <w:rPr>
          <w:lang w:val="en-GB"/>
        </w:rPr>
        <w:t xml:space="preserve"> his</w:t>
      </w:r>
      <w:r w:rsidR="0085299E" w:rsidRPr="00B62920">
        <w:rPr>
          <w:lang w:val="en-GB"/>
        </w:rPr>
        <w:t xml:space="preserve"> disappearance. They also both state “[w]e got an information from the internet that both of them [</w:t>
      </w:r>
      <w:r w:rsidR="0085299E" w:rsidRPr="00B62920">
        <w:t xml:space="preserve">Mr Duško </w:t>
      </w:r>
      <w:r w:rsidR="0085299E" w:rsidRPr="00B62920">
        <w:rPr>
          <w:lang w:val="en-GB"/>
        </w:rPr>
        <w:t>Karanović and his wife Mrs Snezana Karanović] are killed and the bodies are found.”</w:t>
      </w:r>
      <w:bookmarkEnd w:id="19"/>
      <w:r w:rsidR="0085299E" w:rsidRPr="00B62920">
        <w:rPr>
          <w:lang w:val="en-GB"/>
        </w:rPr>
        <w:t xml:space="preserve"> </w:t>
      </w:r>
      <w:r w:rsidR="00BA1556" w:rsidRPr="00B62920">
        <w:rPr>
          <w:lang w:val="en-GB"/>
        </w:rPr>
        <w:t xml:space="preserve"> </w:t>
      </w:r>
      <w:bookmarkEnd w:id="20"/>
    </w:p>
    <w:p w:rsidR="003A4BA6" w:rsidRPr="00B62920" w:rsidRDefault="003A4BA6" w:rsidP="00093691">
      <w:pPr>
        <w:widowControl w:val="0"/>
        <w:tabs>
          <w:tab w:val="left" w:pos="360"/>
          <w:tab w:val="left" w:pos="1080"/>
        </w:tabs>
        <w:suppressAutoHyphens/>
        <w:jc w:val="both"/>
        <w:rPr>
          <w:lang w:val="en-GB"/>
        </w:rPr>
      </w:pPr>
    </w:p>
    <w:p w:rsidR="004D1B23" w:rsidRPr="00B62920" w:rsidRDefault="001F0511" w:rsidP="00093691">
      <w:pPr>
        <w:widowControl w:val="0"/>
        <w:numPr>
          <w:ilvl w:val="0"/>
          <w:numId w:val="2"/>
        </w:numPr>
        <w:tabs>
          <w:tab w:val="left" w:pos="360"/>
          <w:tab w:val="num" w:pos="630"/>
          <w:tab w:val="left" w:pos="1080"/>
        </w:tabs>
        <w:suppressAutoHyphens/>
        <w:jc w:val="both"/>
        <w:rPr>
          <w:lang w:val="en-GB"/>
        </w:rPr>
      </w:pPr>
      <w:bookmarkStart w:id="21" w:name="_Ref420332596"/>
      <w:bookmarkStart w:id="22" w:name="_Ref423091495"/>
      <w:bookmarkStart w:id="23" w:name="_Ref418755028"/>
      <w:bookmarkStart w:id="24" w:name="_Ref414021763"/>
      <w:bookmarkStart w:id="25" w:name="_Ref416960315"/>
      <w:bookmarkStart w:id="26" w:name="_Ref405284197"/>
      <w:bookmarkStart w:id="27" w:name="_Ref398126195"/>
      <w:bookmarkStart w:id="28" w:name="_Ref404681169"/>
      <w:bookmarkStart w:id="29" w:name="_Ref419725480"/>
      <w:r w:rsidRPr="00B62920">
        <w:t>The</w:t>
      </w:r>
      <w:r w:rsidR="003A4BA6" w:rsidRPr="00B62920">
        <w:t xml:space="preserve"> investigative file</w:t>
      </w:r>
      <w:r w:rsidRPr="00B62920">
        <w:t xml:space="preserve"> also</w:t>
      </w:r>
      <w:r w:rsidR="003A4BA6" w:rsidRPr="00B62920">
        <w:t xml:space="preserve"> contains</w:t>
      </w:r>
      <w:r w:rsidR="003A4BA6" w:rsidRPr="00B62920">
        <w:rPr>
          <w:lang w:val="en-GB"/>
        </w:rPr>
        <w:t xml:space="preserve"> a document l</w:t>
      </w:r>
      <w:r w:rsidR="00093691" w:rsidRPr="00B62920">
        <w:rPr>
          <w:lang w:val="en-GB"/>
        </w:rPr>
        <w:t xml:space="preserve">abelled “War </w:t>
      </w:r>
      <w:r w:rsidR="00243327" w:rsidRPr="00B62920">
        <w:rPr>
          <w:lang w:val="en-GB"/>
        </w:rPr>
        <w:t>Crime Unit MPU Ant</w:t>
      </w:r>
      <w:r w:rsidR="003A275F" w:rsidRPr="00B62920">
        <w:rPr>
          <w:lang w:val="en-GB"/>
        </w:rPr>
        <w:t>i</w:t>
      </w:r>
      <w:r w:rsidR="003A4BA6" w:rsidRPr="00B62920">
        <w:rPr>
          <w:lang w:val="en-GB"/>
        </w:rPr>
        <w:t xml:space="preserve"> Mortem Investigation Report”, started</w:t>
      </w:r>
      <w:r w:rsidR="00243327" w:rsidRPr="00B62920">
        <w:rPr>
          <w:lang w:val="en-GB"/>
        </w:rPr>
        <w:t xml:space="preserve"> on 1</w:t>
      </w:r>
      <w:r w:rsidR="003A275F" w:rsidRPr="00B62920">
        <w:rPr>
          <w:lang w:val="en-GB"/>
        </w:rPr>
        <w:t>0</w:t>
      </w:r>
      <w:r w:rsidR="00243327" w:rsidRPr="00B62920">
        <w:rPr>
          <w:lang w:val="en-GB"/>
        </w:rPr>
        <w:t xml:space="preserve"> December 2004</w:t>
      </w:r>
      <w:r w:rsidR="00093691" w:rsidRPr="00B62920">
        <w:rPr>
          <w:lang w:val="en-GB"/>
        </w:rPr>
        <w:t xml:space="preserve"> and completed on</w:t>
      </w:r>
      <w:r w:rsidR="008A0B27" w:rsidRPr="00B62920">
        <w:rPr>
          <w:lang w:val="en-GB"/>
        </w:rPr>
        <w:t xml:space="preserve"> </w:t>
      </w:r>
      <w:r w:rsidR="003A275F" w:rsidRPr="00B62920">
        <w:rPr>
          <w:lang w:val="en-GB"/>
        </w:rPr>
        <w:t>24 December 2004</w:t>
      </w:r>
      <w:r w:rsidR="003A4BA6" w:rsidRPr="00B62920">
        <w:rPr>
          <w:lang w:val="en-GB"/>
        </w:rPr>
        <w:t>, af</w:t>
      </w:r>
      <w:r w:rsidR="009A6E2B" w:rsidRPr="00B62920">
        <w:rPr>
          <w:lang w:val="en-GB"/>
        </w:rPr>
        <w:t xml:space="preserve">fixed with the </w:t>
      </w:r>
      <w:r w:rsidR="009863F7" w:rsidRPr="00B62920">
        <w:rPr>
          <w:lang w:val="en-GB"/>
        </w:rPr>
        <w:t xml:space="preserve">WCIU file no. </w:t>
      </w:r>
      <w:r w:rsidR="003A275F" w:rsidRPr="00B62920">
        <w:rPr>
          <w:lang w:val="en-GB"/>
        </w:rPr>
        <w:t>0055</w:t>
      </w:r>
      <w:r w:rsidR="00093691" w:rsidRPr="00B62920">
        <w:rPr>
          <w:lang w:val="en-GB"/>
        </w:rPr>
        <w:t>/INV/04</w:t>
      </w:r>
      <w:r w:rsidR="003A275F" w:rsidRPr="00B62920">
        <w:rPr>
          <w:lang w:val="en-GB"/>
        </w:rPr>
        <w:t xml:space="preserve"> and cross-referenced with MPU file no. 2000-000281.</w:t>
      </w:r>
      <w:r w:rsidR="00093691" w:rsidRPr="00B62920">
        <w:rPr>
          <w:lang w:val="en-GB"/>
        </w:rPr>
        <w:t xml:space="preserve"> </w:t>
      </w:r>
      <w:r w:rsidR="003A4BA6" w:rsidRPr="00B62920">
        <w:rPr>
          <w:lang w:val="en-GB"/>
        </w:rPr>
        <w:t>The Report lists</w:t>
      </w:r>
      <w:r w:rsidR="00093691" w:rsidRPr="00B62920">
        <w:rPr>
          <w:lang w:val="en-GB"/>
        </w:rPr>
        <w:t xml:space="preserve"> </w:t>
      </w:r>
      <w:r w:rsidR="009863F7" w:rsidRPr="00B62920">
        <w:t xml:space="preserve">Mr Duško </w:t>
      </w:r>
      <w:r w:rsidR="009863F7" w:rsidRPr="00B62920">
        <w:rPr>
          <w:lang w:val="en-GB"/>
        </w:rPr>
        <w:t>Karanović</w:t>
      </w:r>
      <w:r w:rsidR="00755773" w:rsidRPr="00B62920">
        <w:rPr>
          <w:lang w:val="en-GB"/>
        </w:rPr>
        <w:t>’s wife, Mrs Snezana Karanović, as the</w:t>
      </w:r>
      <w:r w:rsidR="003A4BA6" w:rsidRPr="00B62920">
        <w:rPr>
          <w:lang w:val="en-GB"/>
        </w:rPr>
        <w:t xml:space="preserve"> </w:t>
      </w:r>
      <w:r w:rsidR="00755773" w:rsidRPr="00B62920">
        <w:rPr>
          <w:lang w:val="en-GB"/>
        </w:rPr>
        <w:t>missing person.</w:t>
      </w:r>
      <w:r w:rsidR="009A6E2B" w:rsidRPr="00B62920">
        <w:rPr>
          <w:lang w:val="en-GB"/>
        </w:rPr>
        <w:t xml:space="preserve"> </w:t>
      </w:r>
      <w:r w:rsidR="00093691" w:rsidRPr="00B62920">
        <w:rPr>
          <w:lang w:val="en-GB"/>
        </w:rPr>
        <w:t>Under the heading labelled “</w:t>
      </w:r>
      <w:r w:rsidR="003A275F" w:rsidRPr="00B62920">
        <w:rPr>
          <w:lang w:val="en-GB"/>
        </w:rPr>
        <w:t xml:space="preserve">Background of the Case” </w:t>
      </w:r>
      <w:r w:rsidR="00093691" w:rsidRPr="00B62920">
        <w:rPr>
          <w:lang w:val="en-GB"/>
        </w:rPr>
        <w:t xml:space="preserve">the Report states </w:t>
      </w:r>
      <w:r w:rsidR="009863F7" w:rsidRPr="00B62920">
        <w:rPr>
          <w:lang w:val="en-GB"/>
        </w:rPr>
        <w:t>“[</w:t>
      </w:r>
      <w:r w:rsidR="003A275F" w:rsidRPr="00B62920">
        <w:t>Mr</w:t>
      </w:r>
      <w:r w:rsidR="00755773" w:rsidRPr="00B62920">
        <w:t>s</w:t>
      </w:r>
      <w:r w:rsidR="003A275F" w:rsidRPr="00B62920">
        <w:t xml:space="preserve"> </w:t>
      </w:r>
      <w:r w:rsidR="00755773" w:rsidRPr="00B62920">
        <w:rPr>
          <w:lang w:val="en-GB"/>
        </w:rPr>
        <w:t>Snezana Karanović</w:t>
      </w:r>
      <w:r w:rsidR="009863F7" w:rsidRPr="00B62920">
        <w:rPr>
          <w:lang w:val="en-GB"/>
        </w:rPr>
        <w:t>]</w:t>
      </w:r>
      <w:r w:rsidR="003A275F" w:rsidRPr="00B62920">
        <w:rPr>
          <w:lang w:val="en-GB"/>
        </w:rPr>
        <w:t xml:space="preserve"> was </w:t>
      </w:r>
      <w:r w:rsidR="00755773" w:rsidRPr="00B62920">
        <w:rPr>
          <w:lang w:val="en-GB"/>
        </w:rPr>
        <w:t xml:space="preserve">missing since </w:t>
      </w:r>
      <w:r w:rsidR="003A275F" w:rsidRPr="00B62920">
        <w:rPr>
          <w:lang w:val="en-GB"/>
        </w:rPr>
        <w:t>13 J</w:t>
      </w:r>
      <w:r w:rsidR="00755773" w:rsidRPr="00B62920">
        <w:rPr>
          <w:lang w:val="en-GB"/>
        </w:rPr>
        <w:t>une 1999 with her husband [</w:t>
      </w:r>
      <w:r w:rsidR="00755773" w:rsidRPr="00B62920">
        <w:t xml:space="preserve">Mr Duško </w:t>
      </w:r>
      <w:r w:rsidR="00755773" w:rsidRPr="00B62920">
        <w:rPr>
          <w:lang w:val="en-GB"/>
        </w:rPr>
        <w:t>Karanović] in Suva Reka where he worked as a judge in the municipality court. This case has been reported to a</w:t>
      </w:r>
      <w:r w:rsidR="00AA7E95" w:rsidRPr="00B62920">
        <w:rPr>
          <w:lang w:val="en-GB"/>
        </w:rPr>
        <w:t>nd registered by International C</w:t>
      </w:r>
      <w:r w:rsidR="00755773" w:rsidRPr="00B62920">
        <w:rPr>
          <w:lang w:val="en-GB"/>
        </w:rPr>
        <w:t>ommittee of Red Cross (ICRC) under nr. ICRC/BLG-803449-01 and a MPU file was opened (2002-000463).</w:t>
      </w:r>
      <w:r w:rsidR="009863F7" w:rsidRPr="00B62920">
        <w:rPr>
          <w:lang w:val="en-GB"/>
        </w:rPr>
        <w:t xml:space="preserve"> </w:t>
      </w:r>
      <w:r w:rsidR="008A0B27" w:rsidRPr="00B62920">
        <w:rPr>
          <w:lang w:val="en-GB"/>
        </w:rPr>
        <w:t>Under the heading labelled “Further Investigation</w:t>
      </w:r>
      <w:r w:rsidR="003A4BA6" w:rsidRPr="00B62920">
        <w:rPr>
          <w:lang w:val="en-GB"/>
        </w:rPr>
        <w:t>”, the Report states</w:t>
      </w:r>
      <w:r w:rsidR="004E4FBD" w:rsidRPr="00B62920">
        <w:rPr>
          <w:lang w:val="en-GB"/>
        </w:rPr>
        <w:t xml:space="preserve"> (original grammar and emphasis preserved)</w:t>
      </w:r>
      <w:bookmarkEnd w:id="21"/>
      <w:r w:rsidR="004E4FBD" w:rsidRPr="00B62920">
        <w:rPr>
          <w:lang w:val="en-GB"/>
        </w:rPr>
        <w:t>:</w:t>
      </w:r>
      <w:bookmarkEnd w:id="22"/>
    </w:p>
    <w:p w:rsidR="004D1B23" w:rsidRPr="00B62920" w:rsidRDefault="004D1B23" w:rsidP="004D1B23">
      <w:pPr>
        <w:pStyle w:val="ListParagraph"/>
        <w:rPr>
          <w:lang w:val="en-GB"/>
        </w:rPr>
      </w:pPr>
    </w:p>
    <w:p w:rsidR="003A4BA6" w:rsidRPr="00B62920" w:rsidRDefault="004D1B23" w:rsidP="004D1B23">
      <w:pPr>
        <w:widowControl w:val="0"/>
        <w:tabs>
          <w:tab w:val="left" w:pos="1080"/>
        </w:tabs>
        <w:suppressAutoHyphens/>
        <w:ind w:left="720" w:right="360"/>
        <w:jc w:val="both"/>
        <w:rPr>
          <w:lang w:val="en-GB"/>
        </w:rPr>
      </w:pPr>
      <w:r w:rsidRPr="00B62920">
        <w:rPr>
          <w:lang w:val="en-GB"/>
        </w:rPr>
        <w:tab/>
      </w:r>
      <w:r w:rsidRPr="00B62920">
        <w:rPr>
          <w:lang w:val="en-GB"/>
        </w:rPr>
        <w:tab/>
      </w:r>
      <w:r w:rsidR="00755773" w:rsidRPr="00B62920">
        <w:rPr>
          <w:lang w:val="en-GB"/>
        </w:rPr>
        <w:t xml:space="preserve">[i]nvestigation was aimed to find out how the victim disappeared, what was the possible cause of his disappearance, who was engaged in this incident etc. There </w:t>
      </w:r>
      <w:r w:rsidR="00755773" w:rsidRPr="00B62920">
        <w:rPr>
          <w:lang w:val="en-GB"/>
        </w:rPr>
        <w:lastRenderedPageBreak/>
        <w:t xml:space="preserve">is a contradiction of information </w:t>
      </w:r>
      <w:r w:rsidR="00750193" w:rsidRPr="00B62920">
        <w:rPr>
          <w:lang w:val="en-GB"/>
        </w:rPr>
        <w:t>in the file of [</w:t>
      </w:r>
      <w:r w:rsidR="00750193" w:rsidRPr="00B62920">
        <w:t xml:space="preserve">Mr Duško </w:t>
      </w:r>
      <w:r w:rsidR="00750193" w:rsidRPr="00B62920">
        <w:rPr>
          <w:lang w:val="en-GB"/>
        </w:rPr>
        <w:t>Karanović]. According to the profile attached in the file, [</w:t>
      </w:r>
      <w:r w:rsidR="00750193" w:rsidRPr="00B62920">
        <w:t xml:space="preserve">Mr Duško </w:t>
      </w:r>
      <w:r w:rsidR="00750193" w:rsidRPr="00B62920">
        <w:rPr>
          <w:lang w:val="en-GB"/>
        </w:rPr>
        <w:t>Karanović] was last seen on 13 June 1999 in Suv</w:t>
      </w:r>
      <w:r w:rsidR="000E11DC" w:rsidRPr="00B62920">
        <w:rPr>
          <w:lang w:val="en-GB"/>
        </w:rPr>
        <w:t>a</w:t>
      </w:r>
      <w:r w:rsidR="00750193" w:rsidRPr="00B62920">
        <w:rPr>
          <w:lang w:val="en-GB"/>
        </w:rPr>
        <w:t xml:space="preserve"> Reka, where he was working as a judge in the municipality court. According to the testimony of one witness on 13 June 1999 late afternoon the </w:t>
      </w:r>
      <w:r w:rsidR="00184B7D" w:rsidRPr="00B62920">
        <w:rPr>
          <w:lang w:val="en-GB"/>
        </w:rPr>
        <w:t>Yugoslav police forces withdrew from Suva Reka police station and at the same day UCK members occupied the police station. According to that witness in the night between 13 and 14 June 1999 UCK killed Serbs who stayed in Suva Reka. But according to the circumstances of disappearance it is mentioned that [</w:t>
      </w:r>
      <w:r w:rsidR="00184B7D" w:rsidRPr="00B62920">
        <w:t xml:space="preserve">Mr Duško </w:t>
      </w:r>
      <w:r w:rsidR="00184B7D" w:rsidRPr="00B62920">
        <w:rPr>
          <w:lang w:val="en-GB"/>
        </w:rPr>
        <w:t>Karanović] went to Belgrade on 10 June 1999 and when he was coming back along with his wife on 12 June 1999 driving by the yellow Fiat 128 then</w:t>
      </w:r>
      <w:r w:rsidRPr="00B62920">
        <w:rPr>
          <w:lang w:val="en-GB"/>
        </w:rPr>
        <w:t xml:space="preserve"> he was last seen at Merdare on Kosovo Serbian border. [The investigator] tried to contact with the Next-to-kin of the missing person and managed to talk with [the complainant] who lives in Serbia. She did not provide new information but told that she will call me through [D.M] </w:t>
      </w:r>
      <w:r w:rsidR="00E73687" w:rsidRPr="00B62920">
        <w:rPr>
          <w:lang w:val="en-GB"/>
        </w:rPr>
        <w:t>until</w:t>
      </w:r>
      <w:r w:rsidRPr="00B62920">
        <w:rPr>
          <w:lang w:val="en-GB"/>
        </w:rPr>
        <w:t xml:space="preserve"> now she didn’t phone. No witnesses available for this case at this moment. </w:t>
      </w:r>
      <w:r w:rsidRPr="00B62920">
        <w:rPr>
          <w:b/>
          <w:lang w:val="en-GB"/>
        </w:rPr>
        <w:t>This case requires more investigation.</w:t>
      </w:r>
      <w:r w:rsidR="000824ED" w:rsidRPr="00B62920">
        <w:rPr>
          <w:lang w:val="en-GB"/>
        </w:rPr>
        <w:t xml:space="preserve"> </w:t>
      </w:r>
      <w:bookmarkStart w:id="30" w:name="_Ref393961966"/>
      <w:bookmarkEnd w:id="23"/>
      <w:bookmarkEnd w:id="24"/>
      <w:bookmarkEnd w:id="25"/>
      <w:bookmarkEnd w:id="26"/>
      <w:bookmarkEnd w:id="27"/>
      <w:bookmarkEnd w:id="28"/>
      <w:bookmarkEnd w:id="29"/>
    </w:p>
    <w:p w:rsidR="008A0B27" w:rsidRPr="00B62920" w:rsidRDefault="008A0B27" w:rsidP="008A0B27">
      <w:pPr>
        <w:pStyle w:val="ListParagraph"/>
        <w:widowControl w:val="0"/>
        <w:tabs>
          <w:tab w:val="left" w:pos="1080"/>
        </w:tabs>
        <w:ind w:left="360"/>
        <w:jc w:val="both"/>
        <w:rPr>
          <w:lang w:val="en-GB"/>
        </w:rPr>
      </w:pPr>
    </w:p>
    <w:p w:rsidR="006B1047" w:rsidRPr="00B62920" w:rsidRDefault="004D1B23" w:rsidP="007A5EE7">
      <w:pPr>
        <w:pStyle w:val="ListParagraph"/>
        <w:widowControl w:val="0"/>
        <w:numPr>
          <w:ilvl w:val="0"/>
          <w:numId w:val="2"/>
        </w:numPr>
        <w:tabs>
          <w:tab w:val="left" w:pos="360"/>
          <w:tab w:val="left" w:pos="1080"/>
        </w:tabs>
        <w:contextualSpacing/>
        <w:jc w:val="both"/>
        <w:rPr>
          <w:lang w:eastAsia="en-GB"/>
        </w:rPr>
      </w:pPr>
      <w:bookmarkStart w:id="31" w:name="_Ref400531993"/>
      <w:bookmarkStart w:id="32" w:name="_Ref401303826"/>
      <w:bookmarkStart w:id="33" w:name="_Ref419798906"/>
      <w:bookmarkEnd w:id="13"/>
      <w:bookmarkEnd w:id="30"/>
      <w:r w:rsidRPr="00B62920">
        <w:rPr>
          <w:color w:val="000000" w:themeColor="text1"/>
          <w:lang w:val="en-GB"/>
        </w:rPr>
        <w:t>Under the heading labelled “Conclusion”, the Report states</w:t>
      </w:r>
      <w:r w:rsidR="006B1047" w:rsidRPr="00B62920">
        <w:rPr>
          <w:color w:val="000000" w:themeColor="text1"/>
          <w:lang w:val="en-GB"/>
        </w:rPr>
        <w:t xml:space="preserve"> “[a]fter investigations, it’s impossible at this time to find an impartial witness. No information leading to a possible MP’s location. This case should remain open </w:t>
      </w:r>
      <w:r w:rsidR="006B1047" w:rsidRPr="00B62920">
        <w:rPr>
          <w:b/>
          <w:color w:val="000000" w:themeColor="text1"/>
          <w:lang w:val="en-GB"/>
        </w:rPr>
        <w:t>pending</w:t>
      </w:r>
      <w:r w:rsidR="006B1047" w:rsidRPr="00B62920">
        <w:rPr>
          <w:color w:val="000000" w:themeColor="text1"/>
          <w:lang w:val="en-GB"/>
        </w:rPr>
        <w:t xml:space="preserve">.” </w:t>
      </w:r>
    </w:p>
    <w:p w:rsidR="00D44039" w:rsidRPr="00B62920" w:rsidRDefault="00D44039" w:rsidP="00D44039">
      <w:pPr>
        <w:pStyle w:val="ListParagraph"/>
        <w:widowControl w:val="0"/>
        <w:tabs>
          <w:tab w:val="left" w:pos="1080"/>
        </w:tabs>
        <w:ind w:left="360"/>
        <w:contextualSpacing/>
        <w:jc w:val="both"/>
        <w:rPr>
          <w:lang w:eastAsia="en-GB"/>
        </w:rPr>
      </w:pPr>
    </w:p>
    <w:p w:rsidR="00D44039" w:rsidRPr="00B62920" w:rsidRDefault="00D44039" w:rsidP="00BA1556">
      <w:pPr>
        <w:pStyle w:val="ListParagraph"/>
        <w:widowControl w:val="0"/>
        <w:numPr>
          <w:ilvl w:val="0"/>
          <w:numId w:val="2"/>
        </w:numPr>
        <w:tabs>
          <w:tab w:val="left" w:pos="360"/>
          <w:tab w:val="left" w:pos="1080"/>
        </w:tabs>
        <w:contextualSpacing/>
        <w:jc w:val="both"/>
        <w:rPr>
          <w:lang w:val="en-GB" w:eastAsia="en-GB"/>
        </w:rPr>
      </w:pPr>
      <w:bookmarkStart w:id="34" w:name="_Ref398296031"/>
      <w:bookmarkStart w:id="35" w:name="_Ref420334112"/>
      <w:r w:rsidRPr="00B62920">
        <w:rPr>
          <w:lang w:val="en-GB"/>
        </w:rPr>
        <w:t xml:space="preserve">The investigative file contains a copy of </w:t>
      </w:r>
      <w:r w:rsidR="00BA1556" w:rsidRPr="00B62920">
        <w:rPr>
          <w:lang w:val="en-GB"/>
        </w:rPr>
        <w:t xml:space="preserve">an </w:t>
      </w:r>
      <w:r w:rsidRPr="00B62920">
        <w:rPr>
          <w:lang w:val="en-GB"/>
        </w:rPr>
        <w:t>undated request,</w:t>
      </w:r>
      <w:r w:rsidRPr="00B62920">
        <w:t xml:space="preserve"> </w:t>
      </w:r>
      <w:r w:rsidRPr="00B62920">
        <w:rPr>
          <w:lang w:val="en-GB"/>
        </w:rPr>
        <w:t>from</w:t>
      </w:r>
      <w:r w:rsidR="00BA1556" w:rsidRPr="00B62920">
        <w:rPr>
          <w:lang w:val="en-GB"/>
        </w:rPr>
        <w:t xml:space="preserve"> Mrs L.B.</w:t>
      </w:r>
      <w:r w:rsidR="007C59FC" w:rsidRPr="00B62920">
        <w:rPr>
          <w:lang w:val="en-GB"/>
        </w:rPr>
        <w:t>,</w:t>
      </w:r>
      <w:r w:rsidR="00BA1556" w:rsidRPr="00B62920">
        <w:rPr>
          <w:lang w:val="en-GB"/>
        </w:rPr>
        <w:t xml:space="preserve"> </w:t>
      </w:r>
      <w:r w:rsidR="00EE1FCB">
        <w:rPr>
          <w:lang w:val="en-GB"/>
        </w:rPr>
        <w:t>a family member of</w:t>
      </w:r>
      <w:r w:rsidR="00BA1556" w:rsidRPr="00B62920">
        <w:rPr>
          <w:lang w:val="en-GB"/>
        </w:rPr>
        <w:t xml:space="preserve"> </w:t>
      </w:r>
      <w:r w:rsidR="00BA1556" w:rsidRPr="00B62920">
        <w:t xml:space="preserve">Mr Duško </w:t>
      </w:r>
      <w:r w:rsidR="00BA1556" w:rsidRPr="00B62920">
        <w:rPr>
          <w:lang w:val="en-GB"/>
        </w:rPr>
        <w:t>Karanović</w:t>
      </w:r>
      <w:r w:rsidRPr="00B62920">
        <w:rPr>
          <w:lang w:val="en-GB"/>
        </w:rPr>
        <w:t xml:space="preserve"> to the International Prosecutor of the District Public Prosecutor’s Office (DPPO) in </w:t>
      </w:r>
      <w:r w:rsidR="00BA1556" w:rsidRPr="00B62920">
        <w:rPr>
          <w:lang w:val="en-GB"/>
        </w:rPr>
        <w:t>Prizren,</w:t>
      </w:r>
      <w:r w:rsidRPr="00B62920">
        <w:rPr>
          <w:lang w:val="en-GB"/>
        </w:rPr>
        <w:t xml:space="preserve"> to file criminal charges against unidentified perpetrators concerning the abductions of </w:t>
      </w:r>
      <w:r w:rsidR="00BA1556" w:rsidRPr="00B62920">
        <w:t xml:space="preserve">Mr Duško </w:t>
      </w:r>
      <w:r w:rsidR="00BA1556" w:rsidRPr="00B62920">
        <w:rPr>
          <w:lang w:val="en-GB"/>
        </w:rPr>
        <w:t>Karanović</w:t>
      </w:r>
      <w:r w:rsidR="00BA1556" w:rsidRPr="00B62920">
        <w:t xml:space="preserve"> </w:t>
      </w:r>
      <w:r w:rsidRPr="00B62920">
        <w:t>and</w:t>
      </w:r>
      <w:r w:rsidR="00BA1556" w:rsidRPr="00B62920">
        <w:t xml:space="preserve"> his wife Mrs Snezana </w:t>
      </w:r>
      <w:r w:rsidR="00BA1556" w:rsidRPr="00B62920">
        <w:rPr>
          <w:lang w:val="en-GB"/>
        </w:rPr>
        <w:t>Karanović</w:t>
      </w:r>
      <w:r w:rsidRPr="00B62920">
        <w:rPr>
          <w:lang w:val="en-GB"/>
        </w:rPr>
        <w:t xml:space="preserve">. The first document contains the stamped file no. CCIU </w:t>
      </w:r>
      <w:r w:rsidR="00BA1556" w:rsidRPr="00B62920">
        <w:rPr>
          <w:lang w:val="en-GB"/>
        </w:rPr>
        <w:t>2005-00165</w:t>
      </w:r>
      <w:r w:rsidR="00822A1E" w:rsidRPr="00B62920">
        <w:rPr>
          <w:lang w:val="en-GB"/>
        </w:rPr>
        <w:t xml:space="preserve"> </w:t>
      </w:r>
      <w:r w:rsidRPr="00B62920">
        <w:rPr>
          <w:lang w:val="en-GB"/>
        </w:rPr>
        <w:t>on the top.  It is not c</w:t>
      </w:r>
      <w:r w:rsidR="007C59FC" w:rsidRPr="00B62920">
        <w:rPr>
          <w:lang w:val="en-GB"/>
        </w:rPr>
        <w:t>lear from the file whether this request was</w:t>
      </w:r>
      <w:r w:rsidRPr="00B62920">
        <w:rPr>
          <w:lang w:val="en-GB"/>
        </w:rPr>
        <w:t xml:space="preserve"> filed with the DPPO in </w:t>
      </w:r>
      <w:r w:rsidR="00BA1556" w:rsidRPr="00B62920">
        <w:rPr>
          <w:lang w:val="en-GB"/>
        </w:rPr>
        <w:t>Prizren</w:t>
      </w:r>
      <w:r w:rsidRPr="00B62920">
        <w:rPr>
          <w:lang w:val="en-GB"/>
        </w:rPr>
        <w:t xml:space="preserve"> at that time</w:t>
      </w:r>
      <w:bookmarkEnd w:id="34"/>
      <w:r w:rsidRPr="00B62920">
        <w:rPr>
          <w:lang w:val="en-GB"/>
        </w:rPr>
        <w:t>.</w:t>
      </w:r>
      <w:bookmarkEnd w:id="35"/>
    </w:p>
    <w:p w:rsidR="006B1047" w:rsidRPr="00B62920" w:rsidRDefault="006B1047" w:rsidP="006B1047">
      <w:pPr>
        <w:pStyle w:val="ListParagraph"/>
        <w:widowControl w:val="0"/>
        <w:tabs>
          <w:tab w:val="left" w:pos="1080"/>
        </w:tabs>
        <w:ind w:left="360"/>
        <w:contextualSpacing/>
        <w:jc w:val="both"/>
        <w:rPr>
          <w:lang w:eastAsia="en-GB"/>
        </w:rPr>
      </w:pPr>
    </w:p>
    <w:p w:rsidR="00C955A0" w:rsidRPr="00B62920" w:rsidRDefault="00C955A0" w:rsidP="00C955A0">
      <w:pPr>
        <w:pStyle w:val="ListParagraph"/>
        <w:widowControl w:val="0"/>
        <w:numPr>
          <w:ilvl w:val="0"/>
          <w:numId w:val="2"/>
        </w:numPr>
        <w:tabs>
          <w:tab w:val="left" w:pos="1080"/>
        </w:tabs>
        <w:jc w:val="both"/>
        <w:rPr>
          <w:bCs/>
          <w:lang w:val="en-GB"/>
        </w:rPr>
      </w:pPr>
      <w:bookmarkStart w:id="36" w:name="_Ref394653325"/>
      <w:r w:rsidRPr="00B62920">
        <w:rPr>
          <w:bCs/>
          <w:lang w:val="en-GB"/>
        </w:rPr>
        <w:t>The file also contains a copy of</w:t>
      </w:r>
      <w:r w:rsidR="004E4FBD" w:rsidRPr="00B62920">
        <w:rPr>
          <w:bCs/>
          <w:lang w:val="en-GB"/>
        </w:rPr>
        <w:t xml:space="preserve"> a printout with the label “CrimeBase 98 ImageBase Technology Ltd”</w:t>
      </w:r>
      <w:r w:rsidR="00AA7E95" w:rsidRPr="00B62920">
        <w:rPr>
          <w:bCs/>
          <w:lang w:val="en-GB"/>
        </w:rPr>
        <w:t>,</w:t>
      </w:r>
      <w:r w:rsidR="004E4FBD" w:rsidRPr="00B62920">
        <w:rPr>
          <w:bCs/>
          <w:lang w:val="en-GB"/>
        </w:rPr>
        <w:t xml:space="preserve"> which appears to share the same information as </w:t>
      </w:r>
      <w:r w:rsidRPr="00B62920">
        <w:rPr>
          <w:bCs/>
          <w:lang w:val="en-GB"/>
        </w:rPr>
        <w:t xml:space="preserve">the entry from the </w:t>
      </w:r>
      <w:r w:rsidRPr="00B62920">
        <w:rPr>
          <w:lang w:val="en-GB"/>
        </w:rPr>
        <w:t>Humanitarian Law Centre</w:t>
      </w:r>
      <w:r w:rsidR="00D351CA" w:rsidRPr="00B62920">
        <w:rPr>
          <w:lang w:val="en-GB"/>
        </w:rPr>
        <w:t xml:space="preserve"> (HLC)</w:t>
      </w:r>
      <w:r w:rsidRPr="00B62920">
        <w:rPr>
          <w:lang w:val="en-GB"/>
        </w:rPr>
        <w:t xml:space="preserve"> publication “Abductions and Disappearances of non-Albanians in Kosovo”</w:t>
      </w:r>
      <w:r w:rsidRPr="00B62920">
        <w:rPr>
          <w:bCs/>
          <w:lang w:val="en-GB"/>
        </w:rPr>
        <w:t xml:space="preserve"> related to </w:t>
      </w:r>
      <w:r w:rsidRPr="00B62920">
        <w:t xml:space="preserve">Mr Duško </w:t>
      </w:r>
      <w:r w:rsidRPr="00B62920">
        <w:rPr>
          <w:lang w:val="en-GB"/>
        </w:rPr>
        <w:t>Karanović</w:t>
      </w:r>
      <w:r w:rsidR="004E4FBD" w:rsidRPr="00B62920">
        <w:rPr>
          <w:lang w:val="en-GB"/>
        </w:rPr>
        <w:t>. The document states</w:t>
      </w:r>
      <w:r w:rsidRPr="00B62920">
        <w:rPr>
          <w:lang w:val="en-GB"/>
        </w:rPr>
        <w:t xml:space="preserve"> the following</w:t>
      </w:r>
      <w:r w:rsidRPr="00B62920">
        <w:rPr>
          <w:rStyle w:val="FootnoteReference"/>
          <w:lang w:val="en-GB"/>
        </w:rPr>
        <w:footnoteReference w:id="6"/>
      </w:r>
      <w:r w:rsidRPr="00B62920">
        <w:rPr>
          <w:lang w:val="en-GB"/>
        </w:rPr>
        <w:t>:</w:t>
      </w:r>
      <w:bookmarkEnd w:id="36"/>
    </w:p>
    <w:p w:rsidR="00C955A0" w:rsidRPr="00B62920" w:rsidRDefault="00C955A0" w:rsidP="00C955A0">
      <w:pPr>
        <w:pStyle w:val="ListParagraph"/>
        <w:rPr>
          <w:bCs/>
          <w:lang w:val="en-GB"/>
        </w:rPr>
      </w:pPr>
    </w:p>
    <w:p w:rsidR="00C955A0" w:rsidRPr="00B62920" w:rsidRDefault="00C955A0" w:rsidP="00440550">
      <w:pPr>
        <w:pStyle w:val="ListParagraph"/>
        <w:widowControl w:val="0"/>
        <w:tabs>
          <w:tab w:val="left" w:pos="1080"/>
        </w:tabs>
        <w:ind w:right="360"/>
        <w:jc w:val="both"/>
        <w:rPr>
          <w:bCs/>
          <w:lang w:val="en-GB"/>
        </w:rPr>
      </w:pPr>
      <w:r w:rsidRPr="00B62920">
        <w:rPr>
          <w:bCs/>
          <w:lang w:val="en-GB"/>
        </w:rPr>
        <w:tab/>
        <w:t>According to the testimony of his neighbour [V.P], the following happened. On 13 June 1999 late afternoon the Yugoslav Police forces withdrew from the Suva Reka police station</w:t>
      </w:r>
      <w:r w:rsidR="00440550" w:rsidRPr="00B62920">
        <w:rPr>
          <w:bCs/>
          <w:lang w:val="en-GB"/>
        </w:rPr>
        <w:t>- the same day UCK members occupied the police station- on 14 June 1999 German KFOR contingent came into Suva Reka. In the night between 13 and 14 June 1999 UCK killed Serbs who stayed in Suva Reka. Allegedly, the Serbs were buried in one grave somewhere in Suva Reka and the ground was b</w:t>
      </w:r>
      <w:r w:rsidR="00B62920" w:rsidRPr="00B62920">
        <w:rPr>
          <w:bCs/>
          <w:lang w:val="en-GB"/>
        </w:rPr>
        <w:t>ulldozed afterwards.</w:t>
      </w:r>
      <w:r w:rsidRPr="00B62920">
        <w:rPr>
          <w:bCs/>
          <w:lang w:val="en-GB"/>
        </w:rPr>
        <w:t xml:space="preserve"> </w:t>
      </w:r>
    </w:p>
    <w:p w:rsidR="00440550" w:rsidRPr="00B62920" w:rsidRDefault="00440550" w:rsidP="00440550">
      <w:pPr>
        <w:widowControl w:val="0"/>
        <w:tabs>
          <w:tab w:val="left" w:pos="1080"/>
        </w:tabs>
        <w:ind w:right="360"/>
        <w:jc w:val="both"/>
        <w:rPr>
          <w:bCs/>
          <w:lang w:val="en-GB"/>
        </w:rPr>
      </w:pPr>
    </w:p>
    <w:bookmarkEnd w:id="31"/>
    <w:bookmarkEnd w:id="32"/>
    <w:bookmarkEnd w:id="33"/>
    <w:p w:rsidR="00874A40" w:rsidRPr="00B62920" w:rsidRDefault="00874A40" w:rsidP="007A5EE7">
      <w:pPr>
        <w:widowControl w:val="0"/>
        <w:tabs>
          <w:tab w:val="left" w:pos="360"/>
          <w:tab w:val="left" w:pos="1080"/>
        </w:tabs>
        <w:suppressAutoHyphens/>
        <w:contextualSpacing/>
        <w:jc w:val="both"/>
        <w:rPr>
          <w:lang w:eastAsia="en-GB"/>
        </w:rPr>
      </w:pPr>
    </w:p>
    <w:p w:rsidR="003E3F85" w:rsidRPr="00B62920" w:rsidRDefault="003E3F85" w:rsidP="003E3F85">
      <w:pPr>
        <w:numPr>
          <w:ilvl w:val="0"/>
          <w:numId w:val="1"/>
        </w:numPr>
        <w:suppressAutoHyphens/>
        <w:autoSpaceDE w:val="0"/>
        <w:ind w:left="360" w:hanging="360"/>
        <w:jc w:val="both"/>
        <w:rPr>
          <w:b/>
          <w:bCs/>
        </w:rPr>
      </w:pPr>
      <w:r w:rsidRPr="00B62920">
        <w:rPr>
          <w:b/>
          <w:bCs/>
          <w:lang w:val="en-GB"/>
        </w:rPr>
        <w:lastRenderedPageBreak/>
        <w:t>THE</w:t>
      </w:r>
      <w:r w:rsidRPr="00B62920">
        <w:rPr>
          <w:b/>
          <w:bCs/>
        </w:rPr>
        <w:t xml:space="preserve"> COMPLAINT</w:t>
      </w:r>
    </w:p>
    <w:p w:rsidR="003E3F85" w:rsidRPr="00B62920" w:rsidRDefault="003E3F85" w:rsidP="007A5EE7">
      <w:pPr>
        <w:tabs>
          <w:tab w:val="left" w:pos="357"/>
        </w:tabs>
        <w:autoSpaceDE w:val="0"/>
        <w:jc w:val="both"/>
        <w:rPr>
          <w:b/>
          <w:bCs/>
          <w:lang w:val="en-GB"/>
        </w:rPr>
      </w:pPr>
    </w:p>
    <w:p w:rsidR="003E3F85" w:rsidRPr="00B62920" w:rsidRDefault="003E3F85" w:rsidP="003E3F85">
      <w:pPr>
        <w:pStyle w:val="ListParagraph"/>
        <w:numPr>
          <w:ilvl w:val="0"/>
          <w:numId w:val="2"/>
        </w:numPr>
        <w:autoSpaceDE w:val="0"/>
        <w:jc w:val="both"/>
        <w:rPr>
          <w:b/>
          <w:bCs/>
          <w:lang w:val="en-GB"/>
        </w:rPr>
      </w:pPr>
      <w:r w:rsidRPr="00B62920">
        <w:rPr>
          <w:lang w:val="en-GB"/>
        </w:rPr>
        <w:t>The complainant complains about UNMIK’s alleged failure to properly investigate the</w:t>
      </w:r>
      <w:r w:rsidR="00622236" w:rsidRPr="00B62920">
        <w:rPr>
          <w:lang w:val="en-GB"/>
        </w:rPr>
        <w:t xml:space="preserve"> </w:t>
      </w:r>
      <w:r w:rsidR="008A0B27" w:rsidRPr="00B62920">
        <w:rPr>
          <w:lang w:val="en-GB"/>
        </w:rPr>
        <w:t>disappearance</w:t>
      </w:r>
      <w:r w:rsidR="00BC568C" w:rsidRPr="00B62920">
        <w:rPr>
          <w:lang w:val="en-GB"/>
        </w:rPr>
        <w:t xml:space="preserve"> </w:t>
      </w:r>
      <w:r w:rsidRPr="00B62920">
        <w:rPr>
          <w:lang w:val="en-GB"/>
        </w:rPr>
        <w:t xml:space="preserve">of </w:t>
      </w:r>
      <w:r w:rsidR="00440550" w:rsidRPr="00B62920">
        <w:t xml:space="preserve">Mr Duško </w:t>
      </w:r>
      <w:r w:rsidR="00440550" w:rsidRPr="00B62920">
        <w:rPr>
          <w:lang w:val="en-GB"/>
        </w:rPr>
        <w:t>Karanović</w:t>
      </w:r>
      <w:r w:rsidRPr="00B62920">
        <w:rPr>
          <w:lang w:val="en-GB"/>
        </w:rPr>
        <w:t>. In this regard, the Panel deems that the complainant invokes a violation of the procedural limb of Article 2 of the European Convention on Human Rights (ECHR).</w:t>
      </w:r>
    </w:p>
    <w:p w:rsidR="00991DCC" w:rsidRPr="00B62920" w:rsidRDefault="00991DCC" w:rsidP="00991DCC">
      <w:pPr>
        <w:pStyle w:val="ListParagraph"/>
        <w:autoSpaceDE w:val="0"/>
        <w:ind w:left="360"/>
        <w:jc w:val="both"/>
        <w:rPr>
          <w:b/>
          <w:bCs/>
          <w:lang w:val="en-GB"/>
        </w:rPr>
      </w:pPr>
    </w:p>
    <w:p w:rsidR="00991DCC" w:rsidRPr="00B62920" w:rsidRDefault="00991DCC" w:rsidP="00991DCC">
      <w:pPr>
        <w:pStyle w:val="Default"/>
        <w:numPr>
          <w:ilvl w:val="0"/>
          <w:numId w:val="2"/>
        </w:numPr>
        <w:jc w:val="both"/>
        <w:rPr>
          <w:lang w:val="en-GB"/>
        </w:rPr>
      </w:pPr>
      <w:r w:rsidRPr="00B62920">
        <w:rPr>
          <w:lang w:val="en-GB"/>
        </w:rPr>
        <w:t>The complainant also complains about the mental pain and s</w:t>
      </w:r>
      <w:r w:rsidR="008A0B27" w:rsidRPr="00B62920">
        <w:rPr>
          <w:lang w:val="en-GB"/>
        </w:rPr>
        <w:t xml:space="preserve">uffering allegedly caused </w:t>
      </w:r>
      <w:r w:rsidR="00440550" w:rsidRPr="00B62920">
        <w:rPr>
          <w:lang w:val="en-GB"/>
        </w:rPr>
        <w:t>to her</w:t>
      </w:r>
      <w:r w:rsidRPr="00B62920">
        <w:rPr>
          <w:lang w:val="en-GB"/>
        </w:rPr>
        <w:t xml:space="preserve"> by this situation. In this regard, the Panel deems that the complainant relies on Article 3 of the ECHR. </w:t>
      </w:r>
    </w:p>
    <w:p w:rsidR="003E3F85" w:rsidRPr="00B62920" w:rsidRDefault="003E3F85" w:rsidP="003E3F85">
      <w:pPr>
        <w:autoSpaceDE w:val="0"/>
        <w:jc w:val="both"/>
        <w:rPr>
          <w:b/>
          <w:bCs/>
          <w:lang w:val="en-GB"/>
        </w:rPr>
      </w:pPr>
    </w:p>
    <w:p w:rsidR="003E3F85" w:rsidRPr="00B62920" w:rsidRDefault="003E3F85" w:rsidP="003E3F85">
      <w:pPr>
        <w:autoSpaceDE w:val="0"/>
        <w:jc w:val="both"/>
        <w:rPr>
          <w:b/>
          <w:bCs/>
          <w:lang w:val="en-GB"/>
        </w:rPr>
      </w:pPr>
    </w:p>
    <w:p w:rsidR="003E3F85" w:rsidRPr="00B62920" w:rsidRDefault="003E3F85" w:rsidP="003E3F85">
      <w:pPr>
        <w:numPr>
          <w:ilvl w:val="0"/>
          <w:numId w:val="1"/>
        </w:numPr>
        <w:suppressAutoHyphens/>
        <w:autoSpaceDE w:val="0"/>
        <w:ind w:left="360" w:hanging="360"/>
        <w:jc w:val="both"/>
        <w:rPr>
          <w:b/>
          <w:bCs/>
          <w:lang w:val="en-GB"/>
        </w:rPr>
      </w:pPr>
      <w:r w:rsidRPr="00B62920">
        <w:rPr>
          <w:b/>
          <w:bCs/>
          <w:lang w:val="en-GB"/>
        </w:rPr>
        <w:t>THE LAW</w:t>
      </w:r>
    </w:p>
    <w:p w:rsidR="003E3F85" w:rsidRPr="00B62920" w:rsidRDefault="003E3F85" w:rsidP="003E3F85">
      <w:pPr>
        <w:suppressAutoHyphens/>
        <w:autoSpaceDE w:val="0"/>
        <w:jc w:val="both"/>
        <w:rPr>
          <w:bCs/>
          <w:lang w:val="en-GB"/>
        </w:rPr>
      </w:pPr>
    </w:p>
    <w:p w:rsidR="003E3F85" w:rsidRPr="00B62920" w:rsidRDefault="003E3F85" w:rsidP="003E3F85">
      <w:pPr>
        <w:pStyle w:val="Default"/>
        <w:numPr>
          <w:ilvl w:val="0"/>
          <w:numId w:val="4"/>
        </w:numPr>
        <w:jc w:val="both"/>
        <w:rPr>
          <w:b/>
          <w:color w:val="auto"/>
          <w:lang w:val="en-GB"/>
        </w:rPr>
      </w:pPr>
      <w:r w:rsidRPr="00B62920">
        <w:rPr>
          <w:b/>
          <w:color w:val="auto"/>
          <w:lang w:val="en-GB"/>
        </w:rPr>
        <w:t>Alleged violation of the procedural obligation under</w:t>
      </w:r>
      <w:r w:rsidRPr="00B62920">
        <w:rPr>
          <w:b/>
          <w:i/>
          <w:color w:val="auto"/>
          <w:lang w:val="en-GB"/>
        </w:rPr>
        <w:t xml:space="preserve"> </w:t>
      </w:r>
      <w:r w:rsidRPr="00B62920">
        <w:rPr>
          <w:b/>
          <w:color w:val="auto"/>
          <w:lang w:val="en-GB"/>
        </w:rPr>
        <w:t xml:space="preserve">Article 2 of the ECHR </w:t>
      </w:r>
    </w:p>
    <w:p w:rsidR="003E3F85" w:rsidRPr="00B62920" w:rsidRDefault="003E3F85" w:rsidP="003E3F85">
      <w:pPr>
        <w:tabs>
          <w:tab w:val="left" w:pos="630"/>
          <w:tab w:val="left" w:pos="2790"/>
        </w:tabs>
        <w:suppressAutoHyphens/>
        <w:autoSpaceDE w:val="0"/>
        <w:jc w:val="both"/>
        <w:rPr>
          <w:bCs/>
          <w:lang w:val="en-GB"/>
        </w:rPr>
      </w:pPr>
    </w:p>
    <w:p w:rsidR="003E3F85" w:rsidRPr="00B62920" w:rsidRDefault="003E3F85" w:rsidP="003E3F85">
      <w:pPr>
        <w:pStyle w:val="ListParagraph"/>
        <w:numPr>
          <w:ilvl w:val="1"/>
          <w:numId w:val="1"/>
        </w:numPr>
        <w:tabs>
          <w:tab w:val="clear" w:pos="360"/>
          <w:tab w:val="left" w:pos="357"/>
        </w:tabs>
        <w:autoSpaceDE w:val="0"/>
        <w:contextualSpacing/>
        <w:jc w:val="both"/>
        <w:rPr>
          <w:b/>
          <w:bCs/>
          <w:lang w:val="en-GB"/>
        </w:rPr>
      </w:pPr>
      <w:r w:rsidRPr="00B62920">
        <w:rPr>
          <w:b/>
          <w:bCs/>
          <w:lang w:val="en-GB"/>
        </w:rPr>
        <w:t>The scope of the Panel’s review</w:t>
      </w:r>
    </w:p>
    <w:p w:rsidR="003E3F85" w:rsidRPr="00B62920" w:rsidRDefault="003E3F85" w:rsidP="003E3F85">
      <w:pPr>
        <w:suppressAutoHyphens/>
        <w:autoSpaceDE w:val="0"/>
        <w:jc w:val="both"/>
        <w:rPr>
          <w:bCs/>
          <w:lang w:val="en-GB"/>
        </w:rPr>
      </w:pPr>
    </w:p>
    <w:p w:rsidR="003E3F85" w:rsidRPr="00B62920" w:rsidRDefault="003E3F85" w:rsidP="003E3F85">
      <w:pPr>
        <w:pStyle w:val="ListParagraph"/>
        <w:numPr>
          <w:ilvl w:val="0"/>
          <w:numId w:val="2"/>
        </w:numPr>
        <w:autoSpaceDE w:val="0"/>
        <w:jc w:val="both"/>
        <w:rPr>
          <w:bCs/>
          <w:lang w:val="en-GB"/>
        </w:rPr>
      </w:pPr>
      <w:bookmarkStart w:id="37" w:name="_Ref409020267"/>
      <w:r w:rsidRPr="00B62920">
        <w:rPr>
          <w:bCs/>
          <w:lang w:val="en-GB"/>
        </w:rPr>
        <w:t>Before turning to the examination of the merits of the complaint, the Panel needs to clarify the scope of its review.</w:t>
      </w:r>
      <w:bookmarkEnd w:id="37"/>
    </w:p>
    <w:p w:rsidR="003E3F85" w:rsidRPr="00B62920" w:rsidRDefault="003E3F85" w:rsidP="003E3F85">
      <w:pPr>
        <w:autoSpaceDE w:val="0"/>
        <w:jc w:val="both"/>
        <w:rPr>
          <w:bCs/>
          <w:lang w:val="en-GB"/>
        </w:rPr>
      </w:pPr>
    </w:p>
    <w:p w:rsidR="003E3F85" w:rsidRPr="00B62920" w:rsidRDefault="003E3F85" w:rsidP="003E3F85">
      <w:pPr>
        <w:pStyle w:val="ListParagraph"/>
        <w:numPr>
          <w:ilvl w:val="0"/>
          <w:numId w:val="2"/>
        </w:numPr>
        <w:autoSpaceDE w:val="0"/>
        <w:jc w:val="both"/>
        <w:rPr>
          <w:lang w:val="en-GB"/>
        </w:rPr>
      </w:pPr>
      <w:bookmarkStart w:id="38" w:name="_Ref366160496"/>
      <w:r w:rsidRPr="00B62920">
        <w:rPr>
          <w:lang w:val="en-GB"/>
        </w:rPr>
        <w:t>In determining whether it considers that there has been a violation of Article 2 (procedural limb) the Panel is mindful of the existing case-law, notably that of the European Court of Human Rights. However, the Panel is also aware that the complaints before it differ in some significant ways from those brought before that Court. First, the respondent is not a State but an interim international territorial administration mandated to exercise temporary responsibilities in Kosovo. No suspicion attaches to UNMIK with respect to the substantive obligations under Article 2 of the ECHR. Second, as in a limited number of cases before the European Court, those suspected of being responsible for the alleged killings and/or abductions are in all cases before the Panel non-state actors, mostly but not exclusively connected to the conflict.  These are factors for the Panel to take into consideration as it assesses the procedural positive obligations of an intergovernmental organisation with respect to acts committed by third parties in a territory over which it has temporary legislative, executive and judicial control.</w:t>
      </w:r>
      <w:bookmarkEnd w:id="38"/>
      <w:r w:rsidRPr="00B62920">
        <w:rPr>
          <w:lang w:val="en-GB"/>
        </w:rPr>
        <w:t xml:space="preserve"> </w:t>
      </w:r>
    </w:p>
    <w:p w:rsidR="003E3F85" w:rsidRPr="00B62920" w:rsidRDefault="003E3F85" w:rsidP="003E3F85">
      <w:pPr>
        <w:tabs>
          <w:tab w:val="left" w:pos="360"/>
        </w:tabs>
        <w:autoSpaceDE w:val="0"/>
        <w:ind w:left="360" w:hanging="360"/>
        <w:jc w:val="both"/>
        <w:rPr>
          <w:bCs/>
          <w:lang w:val="en-GB"/>
        </w:rPr>
      </w:pPr>
    </w:p>
    <w:p w:rsidR="003E3F85" w:rsidRPr="00B62920" w:rsidRDefault="003E3F85" w:rsidP="003E3F85">
      <w:pPr>
        <w:numPr>
          <w:ilvl w:val="0"/>
          <w:numId w:val="2"/>
        </w:numPr>
        <w:suppressAutoHyphens/>
        <w:autoSpaceDE w:val="0"/>
        <w:jc w:val="both"/>
        <w:rPr>
          <w:lang w:val="en-GB"/>
        </w:rPr>
      </w:pPr>
      <w:bookmarkStart w:id="39" w:name="_Ref347321462"/>
      <w:bookmarkStart w:id="40" w:name="_Ref317418022"/>
      <w:r w:rsidRPr="00B62920">
        <w:rPr>
          <w:lang w:val="en-GB" w:eastAsia="nl-BE"/>
        </w:rPr>
        <w:t xml:space="preserve">The </w:t>
      </w:r>
      <w:r w:rsidRPr="00B62920">
        <w:rPr>
          <w:bCs/>
          <w:lang w:val="en-GB"/>
        </w:rPr>
        <w:t>Panel</w:t>
      </w:r>
      <w:r w:rsidRPr="00B62920">
        <w:rPr>
          <w:lang w:val="en-GB" w:eastAsia="nl-BE"/>
        </w:rPr>
        <w:t xml:space="preserve"> notes that with the adoption of the UNMIK Regulation No. 1999/1 on 25 July 1999 UNMIK undertook an obligation to observe internationally recognised human </w:t>
      </w:r>
      <w:r w:rsidRPr="00B62920">
        <w:rPr>
          <w:bCs/>
          <w:lang w:val="en-GB"/>
        </w:rPr>
        <w:t>rights</w:t>
      </w:r>
      <w:r w:rsidRPr="00B62920">
        <w:rPr>
          <w:lang w:val="en-GB" w:eastAsia="nl-BE"/>
        </w:rPr>
        <w:t xml:space="preserve"> standards in exercising its functions. This undertaking was detailed  in UNMIK Regulation No. 1999/24 of 12 December 1999, by which UNMIK assumed obligations under the following human rights instruments</w:t>
      </w:r>
      <w:r w:rsidRPr="00B62920">
        <w:rPr>
          <w:lang w:val="en-GB"/>
        </w:rPr>
        <w:t xml:space="preserve">: the Universal Declaration of Human Rights, the European Convention on Human Rights and Protocols thereto, the International Covenant on Civil and Political Rights (ICCPR), the International Covenant on Economic, Social and Cultural Rights, the International Convention on the Elimination of All Forms of Racial Discrimination, the Convention on the Elimination of All Forms of Discrimination Against Women, </w:t>
      </w:r>
      <w:hyperlink r:id="rId10" w:history="1">
        <w:r w:rsidRPr="00B62920">
          <w:rPr>
            <w:rStyle w:val="Hyperlink"/>
            <w:color w:val="auto"/>
            <w:u w:val="none"/>
            <w:lang w:val="en-GB"/>
          </w:rPr>
          <w:t>the Convention Against Torture and Other Cruel, Inhuman or Degrading Treatment or Punishment</w:t>
        </w:r>
      </w:hyperlink>
      <w:r w:rsidRPr="00B62920">
        <w:rPr>
          <w:lang w:val="en-GB"/>
        </w:rPr>
        <w:t>, the Convention on the Rights of the Child.</w:t>
      </w:r>
      <w:bookmarkEnd w:id="39"/>
    </w:p>
    <w:p w:rsidR="003E3F85" w:rsidRPr="00B62920" w:rsidRDefault="003E3F85" w:rsidP="003E3F85">
      <w:pPr>
        <w:tabs>
          <w:tab w:val="left" w:pos="360"/>
        </w:tabs>
        <w:suppressAutoHyphens/>
        <w:autoSpaceDE w:val="0"/>
        <w:ind w:left="360" w:hanging="360"/>
        <w:jc w:val="both"/>
        <w:rPr>
          <w:lang w:val="en-GB"/>
        </w:rPr>
      </w:pPr>
      <w:bookmarkStart w:id="41" w:name="_Ref317493050"/>
    </w:p>
    <w:p w:rsidR="003E3F85" w:rsidRPr="00B62920" w:rsidRDefault="003E3F85" w:rsidP="003E3F85">
      <w:pPr>
        <w:numPr>
          <w:ilvl w:val="0"/>
          <w:numId w:val="2"/>
        </w:numPr>
        <w:suppressAutoHyphens/>
        <w:autoSpaceDE w:val="0"/>
        <w:jc w:val="both"/>
        <w:rPr>
          <w:lang w:val="en-GB"/>
        </w:rPr>
      </w:pPr>
      <w:bookmarkStart w:id="42" w:name="_Ref347495661"/>
      <w:r w:rsidRPr="00B62920">
        <w:rPr>
          <w:rFonts w:cs="CAGLHH+TimesNewRoman"/>
          <w:lang w:val="en-GB"/>
        </w:rPr>
        <w:t xml:space="preserve">The Panel also notes that Section 1.2 of </w:t>
      </w:r>
      <w:r w:rsidRPr="00B62920">
        <w:rPr>
          <w:bCs/>
          <w:lang w:val="en-GB"/>
        </w:rPr>
        <w:t xml:space="preserve">UNMIK Regulation No. 2006/12 of 23 March 2006 on the Establishment of the Human Rights Advisory Panel </w:t>
      </w:r>
      <w:r w:rsidRPr="00B62920">
        <w:rPr>
          <w:rFonts w:cs="CAGLHH+TimesNewRoman"/>
          <w:lang w:val="en-GB"/>
        </w:rPr>
        <w:t xml:space="preserve">provides that the Panel “shall examine complaints from any person or group of individuals claiming to be the victim of a violation by UNMIK of (their) human rights”. It </w:t>
      </w:r>
      <w:r w:rsidRPr="00B62920">
        <w:rPr>
          <w:bCs/>
          <w:lang w:val="en-GB"/>
        </w:rPr>
        <w:t>follows</w:t>
      </w:r>
      <w:r w:rsidRPr="00B62920">
        <w:rPr>
          <w:rFonts w:cs="CAGLHH+TimesNewRoman"/>
          <w:lang w:val="en-GB"/>
        </w:rPr>
        <w:t xml:space="preserve"> that only acts or omissions attributable to UNMIK fall within the jurisdiction </w:t>
      </w:r>
      <w:r w:rsidRPr="00B62920">
        <w:rPr>
          <w:rFonts w:cs="CAGLHH+TimesNewRoman"/>
          <w:i/>
          <w:lang w:val="en-GB"/>
        </w:rPr>
        <w:t>ratione personae</w:t>
      </w:r>
      <w:r w:rsidRPr="00B62920">
        <w:rPr>
          <w:rFonts w:cs="CAGLHH+TimesNewRoman"/>
          <w:lang w:val="en-GB"/>
        </w:rPr>
        <w:t xml:space="preserve"> of the Panel. In this respect, it should be noted, as stated above, that as of </w:t>
      </w:r>
      <w:r w:rsidRPr="00B62920">
        <w:rPr>
          <w:lang w:val="en-GB"/>
        </w:rPr>
        <w:t xml:space="preserve">9 December 2008, UNMIK </w:t>
      </w:r>
      <w:r w:rsidRPr="00B62920">
        <w:rPr>
          <w:bCs/>
          <w:lang w:val="en-GB"/>
        </w:rPr>
        <w:t xml:space="preserve">no longer exercises executive authority over the Kosovo judiciary and law enforcement machinery. Therefore UNMIK bears no responsibility for any violation of human rights allegedly committed by those bodies. Insofar as the complainants complain about acts that occurred after that date, they fall outside the jurisdiction </w:t>
      </w:r>
      <w:r w:rsidRPr="00B62920">
        <w:rPr>
          <w:bCs/>
          <w:i/>
          <w:lang w:val="en-GB"/>
        </w:rPr>
        <w:t>ratione personae</w:t>
      </w:r>
      <w:r w:rsidRPr="00B62920">
        <w:rPr>
          <w:bCs/>
          <w:lang w:val="en-GB"/>
        </w:rPr>
        <w:t xml:space="preserve"> of the Panel.</w:t>
      </w:r>
      <w:bookmarkEnd w:id="41"/>
      <w:bookmarkEnd w:id="42"/>
    </w:p>
    <w:p w:rsidR="003E3F85" w:rsidRPr="00B62920" w:rsidRDefault="003E3F85" w:rsidP="003E3F85">
      <w:pPr>
        <w:pStyle w:val="ListParagraph"/>
        <w:tabs>
          <w:tab w:val="left" w:pos="360"/>
        </w:tabs>
        <w:ind w:left="360" w:hanging="360"/>
        <w:rPr>
          <w:lang w:val="en-GB"/>
        </w:rPr>
      </w:pPr>
    </w:p>
    <w:p w:rsidR="003E3F85" w:rsidRPr="00B62920" w:rsidRDefault="003E3F85" w:rsidP="003E3F85">
      <w:pPr>
        <w:numPr>
          <w:ilvl w:val="0"/>
          <w:numId w:val="2"/>
        </w:numPr>
        <w:suppressAutoHyphens/>
        <w:autoSpaceDE w:val="0"/>
        <w:jc w:val="both"/>
        <w:rPr>
          <w:bCs/>
          <w:lang w:val="en-GB"/>
        </w:rPr>
      </w:pPr>
      <w:bookmarkStart w:id="43" w:name="_Ref409020276"/>
      <w:r w:rsidRPr="00B62920">
        <w:rPr>
          <w:rFonts w:cs="CAGLHH+TimesNewRoman"/>
          <w:lang w:val="en-GB"/>
        </w:rPr>
        <w:t xml:space="preserve">Likewise, the Panel emphasises that, as far as its jurisdiction </w:t>
      </w:r>
      <w:r w:rsidRPr="00B62920">
        <w:rPr>
          <w:rFonts w:cs="CAGLHH+TimesNewRoman"/>
          <w:i/>
          <w:lang w:val="en-GB"/>
        </w:rPr>
        <w:t>ratione materiae</w:t>
      </w:r>
      <w:r w:rsidRPr="00B62920">
        <w:rPr>
          <w:rFonts w:cs="CAGLHH+TimesNewRoman"/>
          <w:lang w:val="en-GB"/>
        </w:rPr>
        <w:t xml:space="preserve"> is concerned, as follows from Section 1.2 of UNMIK Regulation No. 2006/12, it can only examine complaints relating to an alleged violation of human rights. This means that it can only review acts or omissions complained of for their compatibility with the international human rights instruments referred to above (see § </w:t>
      </w:r>
      <w:r w:rsidRPr="00B62920">
        <w:fldChar w:fldCharType="begin"/>
      </w:r>
      <w:r w:rsidRPr="00B62920">
        <w:instrText xml:space="preserve"> REF _Ref347321462 \r \h  \* MERGEFORMAT </w:instrText>
      </w:r>
      <w:r w:rsidRPr="00B62920">
        <w:fldChar w:fldCharType="separate"/>
      </w:r>
      <w:r w:rsidR="00B52E51" w:rsidRPr="00B52E51">
        <w:rPr>
          <w:rFonts w:cs="CAGLHH+TimesNewRoman"/>
          <w:lang w:val="en-GB"/>
        </w:rPr>
        <w:t>37</w:t>
      </w:r>
      <w:r w:rsidRPr="00B62920">
        <w:fldChar w:fldCharType="end"/>
      </w:r>
      <w:r w:rsidRPr="00B62920">
        <w:rPr>
          <w:rFonts w:cs="CAGLHH+TimesNewRoman"/>
          <w:lang w:val="en-GB"/>
        </w:rPr>
        <w:t>).</w:t>
      </w:r>
      <w:r w:rsidRPr="00B62920">
        <w:rPr>
          <w:lang w:val="en-GB"/>
        </w:rPr>
        <w:t xml:space="preserve"> In the particular case of killings and disappearances in life-threatening circumstances, it is not the Panel’s role to replace the competent authorities in the investigation of the case. Its task is limited to examining the effectiveness of the criminal investigation into such killings and disappearances, in the light of the procedural obligations flowing from Article 2 of the ECHR.</w:t>
      </w:r>
      <w:bookmarkEnd w:id="43"/>
    </w:p>
    <w:p w:rsidR="003E3F85" w:rsidRPr="00B62920" w:rsidRDefault="003E3F85" w:rsidP="003E3F85">
      <w:pPr>
        <w:pStyle w:val="ListParagraph"/>
        <w:tabs>
          <w:tab w:val="left" w:pos="360"/>
        </w:tabs>
        <w:ind w:left="360" w:hanging="360"/>
        <w:rPr>
          <w:bCs/>
          <w:lang w:val="en-GB"/>
        </w:rPr>
      </w:pPr>
    </w:p>
    <w:p w:rsidR="003E3F85" w:rsidRPr="00B62920" w:rsidRDefault="003E3F85" w:rsidP="003E3F85">
      <w:pPr>
        <w:numPr>
          <w:ilvl w:val="0"/>
          <w:numId w:val="2"/>
        </w:numPr>
        <w:tabs>
          <w:tab w:val="left" w:pos="630"/>
          <w:tab w:val="left" w:pos="2790"/>
        </w:tabs>
        <w:suppressAutoHyphens/>
        <w:autoSpaceDE w:val="0"/>
        <w:jc w:val="both"/>
        <w:rPr>
          <w:bCs/>
          <w:lang w:val="en-GB"/>
        </w:rPr>
      </w:pPr>
      <w:bookmarkStart w:id="44" w:name="_Ref346123885"/>
      <w:r w:rsidRPr="00B62920">
        <w:rPr>
          <w:bCs/>
          <w:lang w:val="en-GB"/>
        </w:rPr>
        <w:t>The Panel further notes that Section 2 of UNMIK Regulation No. 2006/12 provides that t</w:t>
      </w:r>
      <w:r w:rsidRPr="00B62920">
        <w:rPr>
          <w:rFonts w:cs="CAGLHH+TimesNewRoman"/>
          <w:lang w:val="en-GB"/>
        </w:rPr>
        <w:t xml:space="preserve">he Panel shall have jurisdiction over complaints relating to alleged violations of human rights “that had occurred not earlier than 23 April 2005 or arising from facts which occurred prior to this date where these facts give rise to a continuing violation of human rights”. It follows that events that took place before 23 April 2005 generally fall outside the jurisdiction </w:t>
      </w:r>
      <w:r w:rsidRPr="00B62920">
        <w:rPr>
          <w:rFonts w:cs="CAGLHH+TimesNewRoman"/>
          <w:i/>
          <w:lang w:val="en-GB"/>
        </w:rPr>
        <w:t>ratione temporis</w:t>
      </w:r>
      <w:r w:rsidRPr="00B62920">
        <w:rPr>
          <w:rFonts w:cs="CAGLHH+TimesNewRoman"/>
          <w:lang w:val="en-GB"/>
        </w:rPr>
        <w:t xml:space="preserve"> of the Panel. However, to the extent that such events gave rise to a continuing situation, the Panel has jurisdiction to examine complaints relating to that situation</w:t>
      </w:r>
      <w:bookmarkEnd w:id="40"/>
      <w:r w:rsidRPr="00B62920">
        <w:rPr>
          <w:rFonts w:cs="CAGLHH+TimesNewRoman"/>
          <w:lang w:val="en-GB"/>
        </w:rPr>
        <w:t xml:space="preserve"> (see European Court of Human Rights (ECtHR), Grand Chamber [GC], </w:t>
      </w:r>
      <w:r w:rsidRPr="00B62920">
        <w:rPr>
          <w:rFonts w:cs="CAGLHH+TimesNewRoman"/>
          <w:i/>
          <w:lang w:val="en-GB"/>
        </w:rPr>
        <w:t>Varnava and Others v. Turkey</w:t>
      </w:r>
      <w:r w:rsidRPr="00B62920">
        <w:rPr>
          <w:rFonts w:cs="CAGLHH+TimesNewRoman"/>
          <w:lang w:val="en-GB"/>
        </w:rPr>
        <w:t xml:space="preserve">, nos. 16064/90 and others, judgment of 18 September 2009, §§ 147-149; ECtHR, </w:t>
      </w:r>
      <w:r w:rsidRPr="00B62920">
        <w:rPr>
          <w:rFonts w:cs="CAGLHH+TimesNewRoman"/>
          <w:i/>
          <w:lang w:val="en-GB"/>
        </w:rPr>
        <w:t xml:space="preserve">Cyprus v. Turkey </w:t>
      </w:r>
      <w:r w:rsidRPr="00B62920">
        <w:rPr>
          <w:rFonts w:cs="CAGLHH+TimesNewRoman"/>
          <w:lang w:val="en-GB"/>
        </w:rPr>
        <w:t xml:space="preserve">[GC] no. </w:t>
      </w:r>
      <w:r w:rsidRPr="00B62920">
        <w:rPr>
          <w:rStyle w:val="s85f22697"/>
          <w:lang w:val="en-GB"/>
        </w:rPr>
        <w:t>25781/94, judgment of 10 May 2001,</w:t>
      </w:r>
      <w:r w:rsidRPr="00B62920">
        <w:rPr>
          <w:rFonts w:cs="CAGLHH+TimesNewRoman"/>
          <w:lang w:val="en-GB"/>
        </w:rPr>
        <w:t xml:space="preserve"> § 136, ECHR 2001-IV).</w:t>
      </w:r>
      <w:bookmarkEnd w:id="44"/>
      <w:r w:rsidRPr="00B62920">
        <w:rPr>
          <w:rFonts w:cs="CAGLHH+TimesNewRoman"/>
          <w:lang w:val="en-GB"/>
        </w:rPr>
        <w:t xml:space="preserve"> </w:t>
      </w:r>
    </w:p>
    <w:p w:rsidR="003E3F85" w:rsidRPr="00B62920" w:rsidRDefault="003E3F85" w:rsidP="003E3F85">
      <w:pPr>
        <w:jc w:val="both"/>
        <w:rPr>
          <w:lang w:val="en-GB"/>
        </w:rPr>
      </w:pPr>
    </w:p>
    <w:p w:rsidR="003E3F85" w:rsidRPr="00B62920" w:rsidRDefault="003E3F85" w:rsidP="003E3F85">
      <w:pPr>
        <w:pStyle w:val="ListParagraph"/>
        <w:numPr>
          <w:ilvl w:val="1"/>
          <w:numId w:val="1"/>
        </w:numPr>
        <w:tabs>
          <w:tab w:val="clear" w:pos="360"/>
          <w:tab w:val="left" w:pos="357"/>
        </w:tabs>
        <w:autoSpaceDE w:val="0"/>
        <w:contextualSpacing/>
        <w:jc w:val="both"/>
        <w:rPr>
          <w:b/>
          <w:bCs/>
          <w:lang w:val="en-GB"/>
        </w:rPr>
      </w:pPr>
      <w:r w:rsidRPr="00B62920">
        <w:rPr>
          <w:b/>
          <w:bCs/>
          <w:lang w:val="en-GB"/>
        </w:rPr>
        <w:t xml:space="preserve">The Parties’ submissions </w:t>
      </w:r>
    </w:p>
    <w:p w:rsidR="003E3F85" w:rsidRPr="00B62920" w:rsidRDefault="003E3F85" w:rsidP="003E3F85">
      <w:pPr>
        <w:rPr>
          <w:b/>
          <w:lang w:val="en-GB"/>
        </w:rPr>
      </w:pPr>
    </w:p>
    <w:p w:rsidR="003E3F85" w:rsidRPr="00B62920" w:rsidRDefault="003E3F85" w:rsidP="008A0B27">
      <w:pPr>
        <w:numPr>
          <w:ilvl w:val="0"/>
          <w:numId w:val="2"/>
        </w:numPr>
        <w:suppressAutoHyphens/>
        <w:autoSpaceDE w:val="0"/>
        <w:rPr>
          <w:lang w:val="en-GB"/>
        </w:rPr>
      </w:pPr>
      <w:r w:rsidRPr="00B62920">
        <w:rPr>
          <w:lang w:val="en-GB"/>
        </w:rPr>
        <w:t>The complainant in substance alleges a violation concerning the lack of an adequate criminal investigation into</w:t>
      </w:r>
      <w:r w:rsidR="002948A6" w:rsidRPr="00B62920">
        <w:rPr>
          <w:lang w:val="en-GB"/>
        </w:rPr>
        <w:t xml:space="preserve"> the</w:t>
      </w:r>
      <w:r w:rsidR="00991DCC" w:rsidRPr="00B62920">
        <w:rPr>
          <w:lang w:val="en-GB"/>
        </w:rPr>
        <w:t xml:space="preserve"> </w:t>
      </w:r>
      <w:r w:rsidR="008A0B27" w:rsidRPr="00B62920">
        <w:rPr>
          <w:lang w:val="en-GB"/>
        </w:rPr>
        <w:t xml:space="preserve">disappearance of </w:t>
      </w:r>
      <w:r w:rsidR="00440550" w:rsidRPr="00B62920">
        <w:t xml:space="preserve">Mr Duško </w:t>
      </w:r>
      <w:r w:rsidR="00440550" w:rsidRPr="00B62920">
        <w:rPr>
          <w:lang w:val="en-GB"/>
        </w:rPr>
        <w:t>Karanović</w:t>
      </w:r>
      <w:r w:rsidR="00991DCC" w:rsidRPr="00B62920">
        <w:t>.</w:t>
      </w:r>
    </w:p>
    <w:p w:rsidR="002948A6" w:rsidRPr="00B62920" w:rsidRDefault="002948A6" w:rsidP="002948A6">
      <w:pPr>
        <w:suppressAutoHyphens/>
        <w:autoSpaceDE w:val="0"/>
        <w:ind w:left="360"/>
        <w:jc w:val="both"/>
        <w:rPr>
          <w:lang w:val="en-GB"/>
        </w:rPr>
      </w:pPr>
    </w:p>
    <w:p w:rsidR="003E3F85" w:rsidRPr="00B62920" w:rsidRDefault="003E3F85" w:rsidP="003E3F85">
      <w:pPr>
        <w:numPr>
          <w:ilvl w:val="0"/>
          <w:numId w:val="2"/>
        </w:numPr>
        <w:suppressAutoHyphens/>
        <w:autoSpaceDE w:val="0"/>
        <w:jc w:val="both"/>
        <w:rPr>
          <w:bCs/>
          <w:lang w:val="en-GB"/>
        </w:rPr>
      </w:pPr>
      <w:r w:rsidRPr="00B62920">
        <w:rPr>
          <w:bCs/>
          <w:lang w:val="en-GB"/>
        </w:rPr>
        <w:t xml:space="preserve">In his comments on the merits of the complaint, the SRSG </w:t>
      </w:r>
      <w:r w:rsidRPr="00B62920">
        <w:rPr>
          <w:lang w:val="en-GB"/>
        </w:rPr>
        <w:t xml:space="preserve">does not dispute </w:t>
      </w:r>
      <w:r w:rsidRPr="00B62920">
        <w:rPr>
          <w:bCs/>
          <w:lang w:val="en-GB"/>
        </w:rPr>
        <w:t xml:space="preserve">that UNMIK had a responsibility to conduct an effective investigation into </w:t>
      </w:r>
      <w:r w:rsidR="00991DCC" w:rsidRPr="00B62920">
        <w:rPr>
          <w:lang w:val="en-GB"/>
        </w:rPr>
        <w:t xml:space="preserve">the </w:t>
      </w:r>
      <w:r w:rsidR="008A0B27" w:rsidRPr="00B62920">
        <w:rPr>
          <w:lang w:val="en-GB"/>
        </w:rPr>
        <w:t xml:space="preserve">disappearance of </w:t>
      </w:r>
      <w:r w:rsidR="00440550" w:rsidRPr="00B62920">
        <w:t xml:space="preserve">Mr Duško </w:t>
      </w:r>
      <w:r w:rsidR="00440550" w:rsidRPr="00B62920">
        <w:rPr>
          <w:lang w:val="en-GB"/>
        </w:rPr>
        <w:t>Karanović</w:t>
      </w:r>
      <w:r w:rsidRPr="00B62920">
        <w:rPr>
          <w:b/>
          <w:bCs/>
          <w:lang w:val="en-GB"/>
        </w:rPr>
        <w:t>,</w:t>
      </w:r>
      <w:r w:rsidRPr="00B62920">
        <w:rPr>
          <w:bCs/>
          <w:lang w:val="en-GB"/>
        </w:rPr>
        <w:t xml:space="preserve"> in line with its general obligation to secure the effective implementation of the domestic laws which protect the right to life, given to it by UN Security Council Resolution 1244 (1999) (see § </w:t>
      </w:r>
      <w:r w:rsidRPr="00B62920">
        <w:fldChar w:fldCharType="begin"/>
      </w:r>
      <w:r w:rsidRPr="00B62920">
        <w:instrText xml:space="preserve"> REF _Ref373941473 \r \h  \* MERGEFORMAT </w:instrText>
      </w:r>
      <w:r w:rsidRPr="00B62920">
        <w:fldChar w:fldCharType="separate"/>
      </w:r>
      <w:r w:rsidR="00B52E51" w:rsidRPr="00B52E51">
        <w:rPr>
          <w:bCs/>
          <w:lang w:val="en-GB"/>
        </w:rPr>
        <w:t>10</w:t>
      </w:r>
      <w:r w:rsidRPr="00B62920">
        <w:fldChar w:fldCharType="end"/>
      </w:r>
      <w:r w:rsidRPr="00B62920">
        <w:rPr>
          <w:bCs/>
          <w:lang w:val="en-GB"/>
        </w:rPr>
        <w:t xml:space="preserve"> above) and further defined by UNMIK Regulation No. 1999/1 </w:t>
      </w:r>
      <w:r w:rsidRPr="00B62920">
        <w:rPr>
          <w:bCs/>
          <w:i/>
          <w:lang w:val="en-GB"/>
        </w:rPr>
        <w:t>On the Authority of the Interim Administration in Kosovo</w:t>
      </w:r>
      <w:r w:rsidRPr="00B62920">
        <w:rPr>
          <w:bCs/>
          <w:lang w:val="en-GB"/>
        </w:rPr>
        <w:t xml:space="preserve"> and subsequently, UNMIK Regulation 1999/24 </w:t>
      </w:r>
      <w:r w:rsidRPr="00B62920">
        <w:rPr>
          <w:bCs/>
          <w:i/>
          <w:lang w:val="en-GB"/>
        </w:rPr>
        <w:t>On the Law Applicable in Kosovo,</w:t>
      </w:r>
      <w:r w:rsidRPr="00B62920">
        <w:rPr>
          <w:bCs/>
          <w:lang w:val="en-GB"/>
        </w:rPr>
        <w:t xml:space="preserve"> and Article 2 of the ECHR.</w:t>
      </w:r>
    </w:p>
    <w:p w:rsidR="003E3F85" w:rsidRPr="00B62920" w:rsidRDefault="003E3F85" w:rsidP="003E3F85">
      <w:pPr>
        <w:suppressAutoHyphens/>
        <w:autoSpaceDE w:val="0"/>
        <w:ind w:left="360"/>
        <w:jc w:val="both"/>
        <w:rPr>
          <w:bCs/>
          <w:lang w:val="en-GB"/>
        </w:rPr>
      </w:pPr>
    </w:p>
    <w:p w:rsidR="003E3F85" w:rsidRPr="00B62920" w:rsidRDefault="003E3F85" w:rsidP="003E3F85">
      <w:pPr>
        <w:numPr>
          <w:ilvl w:val="0"/>
          <w:numId w:val="2"/>
        </w:numPr>
        <w:suppressAutoHyphens/>
        <w:autoSpaceDE w:val="0"/>
        <w:jc w:val="both"/>
        <w:rPr>
          <w:bCs/>
          <w:lang w:val="en-GB"/>
        </w:rPr>
      </w:pPr>
      <w:r w:rsidRPr="00B62920">
        <w:lastRenderedPageBreak/>
        <w:t>In this regard, the SRSG stresses that this responsibility stems from the procedural obligation under Article 2 of the ECHR to conduct an effective investigation where death occurs in suspicious circumstances not imputable to State agents.</w:t>
      </w:r>
      <w:bookmarkStart w:id="45" w:name="_Ref347846976"/>
      <w:r w:rsidRPr="00B62920">
        <w:rPr>
          <w:bCs/>
          <w:lang w:val="en-GB"/>
        </w:rPr>
        <w:t xml:space="preserve"> He argues that, in general, when considering whether UNMIK has satisfied its procedural obligations under Article 2 of the ECHR, the Panel must take into consideration the special circumstances in Kosovo at the time.</w:t>
      </w:r>
      <w:bookmarkEnd w:id="45"/>
    </w:p>
    <w:p w:rsidR="00BD43B1" w:rsidRPr="00B62920" w:rsidRDefault="00BD43B1" w:rsidP="00BD43B1">
      <w:pPr>
        <w:pStyle w:val="ListParagraph"/>
        <w:rPr>
          <w:bCs/>
          <w:lang w:val="en-GB"/>
        </w:rPr>
      </w:pPr>
    </w:p>
    <w:p w:rsidR="00BD43B1" w:rsidRPr="00B62920" w:rsidRDefault="00BD43B1" w:rsidP="00BD43B1">
      <w:pPr>
        <w:numPr>
          <w:ilvl w:val="0"/>
          <w:numId w:val="2"/>
        </w:numPr>
        <w:tabs>
          <w:tab w:val="left" w:pos="709"/>
        </w:tabs>
        <w:suppressAutoHyphens/>
        <w:autoSpaceDE w:val="0"/>
        <w:jc w:val="both"/>
        <w:rPr>
          <w:lang w:eastAsia="nl-NL"/>
        </w:rPr>
      </w:pPr>
      <w:r w:rsidRPr="00B62920">
        <w:t xml:space="preserve">The </w:t>
      </w:r>
      <w:r w:rsidRPr="00B62920">
        <w:rPr>
          <w:bCs/>
          <w:lang w:val="en-GB"/>
        </w:rPr>
        <w:t>SRSG</w:t>
      </w:r>
      <w:r w:rsidRPr="00B62920">
        <w:t xml:space="preserve"> considers that the obligation is two-fold, including an obligation to determine through investigation the fate and/or whereabouts of the dead person; and an obligation to conduct an investigation capable of determining whether the death was caused unlawfully and leading to the identification and punishment of those responsible for the disappearance and/or death of the missing person.</w:t>
      </w:r>
    </w:p>
    <w:p w:rsidR="003E3F85" w:rsidRPr="00B62920" w:rsidRDefault="003E3F85" w:rsidP="003E3F85">
      <w:pPr>
        <w:pStyle w:val="ListParagraph"/>
        <w:rPr>
          <w:lang w:val="en-GB"/>
        </w:rPr>
      </w:pPr>
    </w:p>
    <w:p w:rsidR="003E3F85" w:rsidRPr="00B62920" w:rsidRDefault="00AD7F08" w:rsidP="003E3F85">
      <w:pPr>
        <w:numPr>
          <w:ilvl w:val="0"/>
          <w:numId w:val="2"/>
        </w:numPr>
        <w:tabs>
          <w:tab w:val="left" w:pos="709"/>
        </w:tabs>
        <w:suppressAutoHyphens/>
        <w:autoSpaceDE w:val="0"/>
        <w:jc w:val="both"/>
        <w:rPr>
          <w:bCs/>
          <w:lang w:val="en-GB"/>
        </w:rPr>
      </w:pPr>
      <w:r w:rsidRPr="00B62920">
        <w:rPr>
          <w:lang w:val="en-GB"/>
        </w:rPr>
        <w:t>The SRSG adds that in</w:t>
      </w:r>
      <w:r w:rsidR="00A62C6D" w:rsidRPr="00B62920">
        <w:rPr>
          <w:lang w:val="en-GB"/>
        </w:rPr>
        <w:t xml:space="preserve"> June</w:t>
      </w:r>
      <w:r w:rsidR="003E3F85" w:rsidRPr="00B62920">
        <w:rPr>
          <w:lang w:val="en-GB"/>
        </w:rPr>
        <w:t xml:space="preserve"> 1999, “the security situation</w:t>
      </w:r>
      <w:r w:rsidR="00B66B4E" w:rsidRPr="00B62920">
        <w:rPr>
          <w:lang w:val="en-GB"/>
        </w:rPr>
        <w:t xml:space="preserve"> in post-conflict Kosovo remained tense.</w:t>
      </w:r>
      <w:r w:rsidR="003E3F85" w:rsidRPr="00B62920">
        <w:rPr>
          <w:lang w:val="en-GB"/>
        </w:rPr>
        <w:t xml:space="preserve"> KFOR was still in the process of reaching sufficient strength to maintain public safety</w:t>
      </w:r>
      <w:r w:rsidR="00343345" w:rsidRPr="00B62920">
        <w:rPr>
          <w:lang w:val="en-GB"/>
        </w:rPr>
        <w:t xml:space="preserve"> and</w:t>
      </w:r>
      <w:r w:rsidR="003E3F85" w:rsidRPr="00B62920">
        <w:rPr>
          <w:lang w:val="en-GB"/>
        </w:rPr>
        <w:t xml:space="preserve"> law and order</w:t>
      </w:r>
      <w:r w:rsidR="00B66B4E" w:rsidRPr="00B62920">
        <w:rPr>
          <w:lang w:val="en-GB"/>
        </w:rPr>
        <w:t xml:space="preserve"> and</w:t>
      </w:r>
      <w:r w:rsidR="003E3F85" w:rsidRPr="00B62920">
        <w:rPr>
          <w:lang w:val="en-GB"/>
        </w:rPr>
        <w:t xml:space="preserve"> there were a number of serious criminal incidents targeting Kosovo-Serbs, including abductions and killings.”</w:t>
      </w:r>
    </w:p>
    <w:p w:rsidR="003E3F85" w:rsidRPr="00B62920" w:rsidRDefault="003E3F85" w:rsidP="00BD43B1">
      <w:pPr>
        <w:rPr>
          <w:lang w:val="en-GB"/>
        </w:rPr>
      </w:pPr>
    </w:p>
    <w:p w:rsidR="003E3F85" w:rsidRPr="00B62920" w:rsidRDefault="003E3F85" w:rsidP="003E3F85">
      <w:pPr>
        <w:numPr>
          <w:ilvl w:val="0"/>
          <w:numId w:val="2"/>
        </w:numPr>
        <w:tabs>
          <w:tab w:val="left" w:pos="709"/>
        </w:tabs>
        <w:suppressAutoHyphens/>
        <w:autoSpaceDE w:val="0"/>
        <w:jc w:val="both"/>
        <w:rPr>
          <w:lang w:eastAsia="nl-NL"/>
        </w:rPr>
      </w:pPr>
      <w:bookmarkStart w:id="46" w:name="_Ref368311784"/>
      <w:r w:rsidRPr="00B62920">
        <w:rPr>
          <w:bCs/>
        </w:rPr>
        <w:t xml:space="preserve">The SRSG argues that </w:t>
      </w:r>
      <w:r w:rsidRPr="00B62920">
        <w:rPr>
          <w:lang w:val="en-GB"/>
        </w:rPr>
        <w:t>in</w:t>
      </w:r>
      <w:r w:rsidRPr="00B62920">
        <w:rPr>
          <w:bCs/>
        </w:rPr>
        <w:t xml:space="preserve"> its case-law on Article 2, the European Court of Human Rights has stated </w:t>
      </w:r>
      <w:r w:rsidRPr="00B62920">
        <w:rPr>
          <w:bCs/>
          <w:lang w:val="en-GB"/>
        </w:rPr>
        <w:t>that</w:t>
      </w:r>
      <w:r w:rsidRPr="00B62920">
        <w:rPr>
          <w:bCs/>
        </w:rPr>
        <w:t xml:space="preserve"> due consideration shall be given to the difficulties inherent to post-conflict situations and the problems limiting the ability of investigating authorities</w:t>
      </w:r>
      <w:r w:rsidR="00711C23" w:rsidRPr="00B62920">
        <w:rPr>
          <w:bCs/>
        </w:rPr>
        <w:t xml:space="preserve"> when conducting investigations in</w:t>
      </w:r>
      <w:r w:rsidRPr="00B62920">
        <w:rPr>
          <w:bCs/>
        </w:rPr>
        <w:t xml:space="preserve"> such cases. </w:t>
      </w:r>
      <w:r w:rsidRPr="00B62920">
        <w:t xml:space="preserve">In this regard, the SRSG recalls the judgment of 15 February 2011 rendered by the European Court in the case </w:t>
      </w:r>
      <w:r w:rsidRPr="00B62920">
        <w:rPr>
          <w:i/>
        </w:rPr>
        <w:t>Palić v. Bosnia and Herzegovina</w:t>
      </w:r>
      <w:r w:rsidR="00711C23" w:rsidRPr="00B62920">
        <w:rPr>
          <w:i/>
        </w:rPr>
        <w:t>,</w:t>
      </w:r>
      <w:r w:rsidRPr="00B62920">
        <w:t xml:space="preserve"> stating at paragraph 70:</w:t>
      </w:r>
      <w:bookmarkEnd w:id="46"/>
    </w:p>
    <w:p w:rsidR="003E3F85" w:rsidRPr="00B62920" w:rsidRDefault="003E3F85" w:rsidP="003E3F85">
      <w:pPr>
        <w:pStyle w:val="ListParagraph"/>
        <w:rPr>
          <w:lang w:eastAsia="nl-NL"/>
        </w:rPr>
      </w:pPr>
    </w:p>
    <w:p w:rsidR="003E3F85" w:rsidRPr="00B62920" w:rsidRDefault="003E3F85" w:rsidP="00CA379B">
      <w:pPr>
        <w:ind w:left="862" w:right="567"/>
        <w:jc w:val="both"/>
        <w:rPr>
          <w:lang w:eastAsia="nl-NL"/>
        </w:rPr>
      </w:pPr>
      <w:r w:rsidRPr="00B62920">
        <w:rPr>
          <w:lang w:eastAsia="nl-NL"/>
        </w:rPr>
        <w:t>“The Court takes into account the complex situation in Bosnia and Herzegovina, notably in the first ten years following the war. In such a post-conflict situation, what amounts to an impossible and/or disproportionate burden must be measured by the very particular facts and context. In this connection, the Court notes that more than 100,000 people were killed, almost 30,000 people went missing and more than two million people were displaced during the war in Bosnia and Herzegovina. Inevitably choices had to be made in terms of post-war priorities and resources […].”</w:t>
      </w:r>
    </w:p>
    <w:p w:rsidR="003E3F85" w:rsidRPr="00B62920" w:rsidRDefault="003E3F85" w:rsidP="003E3F85">
      <w:pPr>
        <w:pStyle w:val="ListParagraph"/>
        <w:rPr>
          <w:lang w:eastAsia="en-US"/>
        </w:rPr>
      </w:pPr>
    </w:p>
    <w:p w:rsidR="003E3F85" w:rsidRPr="00B62920" w:rsidRDefault="003E3F85" w:rsidP="003E3F85">
      <w:pPr>
        <w:numPr>
          <w:ilvl w:val="0"/>
          <w:numId w:val="2"/>
        </w:numPr>
        <w:tabs>
          <w:tab w:val="left" w:pos="709"/>
        </w:tabs>
        <w:suppressAutoHyphens/>
        <w:autoSpaceDE w:val="0"/>
        <w:jc w:val="both"/>
        <w:rPr>
          <w:lang w:eastAsia="nl-NL"/>
        </w:rPr>
      </w:pPr>
      <w:r w:rsidRPr="00B62920">
        <w:t xml:space="preserve">In the </w:t>
      </w:r>
      <w:r w:rsidRPr="00B62920">
        <w:rPr>
          <w:bCs/>
          <w:lang w:val="en-GB"/>
        </w:rPr>
        <w:t>view</w:t>
      </w:r>
      <w:r w:rsidRPr="00B62920">
        <w:t xml:space="preserve"> of the SRSG, in the aftermath of the Kosovo conflict, UNMIK was faced with a similar situation as the one in Bosnia. Many of those persons who were unaccounted for were abducted, killed and buried in unmarked graves inside or outside of Kosovo, which made very difficult locating and recovering their mortal remains.</w:t>
      </w:r>
    </w:p>
    <w:p w:rsidR="001C2817" w:rsidRPr="00B62920" w:rsidRDefault="001C2817" w:rsidP="001C2817">
      <w:pPr>
        <w:tabs>
          <w:tab w:val="left" w:pos="709"/>
        </w:tabs>
        <w:suppressAutoHyphens/>
        <w:autoSpaceDE w:val="0"/>
        <w:ind w:left="360"/>
        <w:jc w:val="both"/>
        <w:rPr>
          <w:lang w:eastAsia="nl-NL"/>
        </w:rPr>
      </w:pPr>
    </w:p>
    <w:p w:rsidR="001C2817" w:rsidRPr="00B62920" w:rsidRDefault="001C2817" w:rsidP="001C2817">
      <w:pPr>
        <w:numPr>
          <w:ilvl w:val="0"/>
          <w:numId w:val="2"/>
        </w:numPr>
        <w:suppressAutoHyphens/>
        <w:autoSpaceDE w:val="0"/>
        <w:jc w:val="both"/>
        <w:rPr>
          <w:lang w:val="en-GB"/>
        </w:rPr>
      </w:pPr>
      <w:r w:rsidRPr="00B62920">
        <w:rPr>
          <w:lang w:val="en-GB"/>
        </w:rPr>
        <w:t xml:space="preserve">In June 2002, UNMIK created the OMPF with the mandate to determine the fate of the missing; however its work was faced with many challenges at the beginning of its operations, due to the work previously done mostly by actors independent from UNMIK. In particular, the SRSG states that the collection of evidence of war crimes began with the arrival of NATO in 1999 with independent teams from several countries operating under the loose coordination of the ICTY. A lack of standard operating procedures or centralisation led to problems with the evidence gathered in this phase. In 2000, ICTY launched a large, </w:t>
      </w:r>
      <w:r w:rsidRPr="00B62920">
        <w:rPr>
          <w:lang w:val="en-GB"/>
        </w:rPr>
        <w:lastRenderedPageBreak/>
        <w:t xml:space="preserve">centralised forensic operation, based at the Rahovec/Orahovac mortuary, with standard operating procedures for all forensic teams except the British one, which operated independently out of Prishtinë/Priština. The SRSG states that, in the effort to demonstrate that crimes were systematic and widespread, the ICTY teams conducted autopsies on as many bodies as possible, carrying out little or no identification work; moreover, unidentified bodies exhumed in 1999 were reburied in locations still unknown to the OMPF. After the ICTY closed their operation in 2000, the UNMIK Police MPU continued small-scale investigations on missing persons “ex-officio, without any broader prosecutorial strategy”. As a consequence, a large amount of unstructured information was collected. </w:t>
      </w:r>
    </w:p>
    <w:p w:rsidR="001C2817" w:rsidRPr="00B62920" w:rsidRDefault="001C2817" w:rsidP="001C2817">
      <w:pPr>
        <w:suppressAutoHyphens/>
        <w:autoSpaceDE w:val="0"/>
        <w:ind w:left="360"/>
        <w:jc w:val="both"/>
        <w:rPr>
          <w:lang w:val="en-GB"/>
        </w:rPr>
      </w:pPr>
    </w:p>
    <w:p w:rsidR="001C2817" w:rsidRPr="00B62920" w:rsidRDefault="001C2817" w:rsidP="001C2817">
      <w:pPr>
        <w:numPr>
          <w:ilvl w:val="0"/>
          <w:numId w:val="2"/>
        </w:numPr>
        <w:suppressAutoHyphens/>
        <w:autoSpaceDE w:val="0"/>
        <w:jc w:val="both"/>
        <w:rPr>
          <w:lang w:val="en-GB"/>
        </w:rPr>
      </w:pPr>
      <w:r w:rsidRPr="00B62920">
        <w:rPr>
          <w:lang w:val="en-GB"/>
        </w:rPr>
        <w:t xml:space="preserve">The SRSG states that locating and identifying the missing in the context described above is a very difficult and time-consuming task. He further states that the number of missing persons recovered and identified by OMPF is “testament to the vigour of its work </w:t>
      </w:r>
      <w:proofErr w:type="gramStart"/>
      <w:r w:rsidRPr="00B62920">
        <w:rPr>
          <w:lang w:val="en-GB"/>
        </w:rPr>
        <w:t>between 2002-2008</w:t>
      </w:r>
      <w:proofErr w:type="gramEnd"/>
      <w:r w:rsidRPr="00B62920">
        <w:rPr>
          <w:lang w:val="en-GB"/>
        </w:rPr>
        <w:t>” and that “more bodies</w:t>
      </w:r>
      <w:r w:rsidR="008A0B27" w:rsidRPr="00B62920">
        <w:rPr>
          <w:lang w:val="en-GB"/>
        </w:rPr>
        <w:t xml:space="preserve"> have been</w:t>
      </w:r>
      <w:r w:rsidRPr="00B62920">
        <w:rPr>
          <w:lang w:val="en-GB"/>
        </w:rPr>
        <w:t xml:space="preserve"> located in buria</w:t>
      </w:r>
      <w:r w:rsidR="008A0B27" w:rsidRPr="00B62920">
        <w:rPr>
          <w:lang w:val="en-GB"/>
        </w:rPr>
        <w:t>l sites and more identification</w:t>
      </w:r>
      <w:r w:rsidRPr="00B62920">
        <w:rPr>
          <w:lang w:val="en-GB"/>
        </w:rPr>
        <w:t xml:space="preserve"> and returns to family members are taking place, often based on information contained in UNMIK-OMPF files”.  The SRSG continues that “</w:t>
      </w:r>
      <w:r w:rsidR="008A0B27" w:rsidRPr="00B62920">
        <w:rPr>
          <w:lang w:val="en-GB"/>
        </w:rPr>
        <w:t>[</w:t>
      </w:r>
      <w:r w:rsidRPr="00B62920">
        <w:rPr>
          <w:lang w:val="en-GB"/>
        </w:rPr>
        <w:t>t</w:t>
      </w:r>
      <w:r w:rsidR="008A0B27" w:rsidRPr="00B62920">
        <w:rPr>
          <w:lang w:val="en-GB"/>
        </w:rPr>
        <w:t>]</w:t>
      </w:r>
      <w:r w:rsidRPr="00B62920">
        <w:rPr>
          <w:lang w:val="en-GB"/>
        </w:rPr>
        <w:t xml:space="preserve">herefore, it is apparent that the process for establishing a system capable of dealing effectively with disappearances and other serious violations of international humanitarian law has been an understandably incremental one” in Kosovo as reflected in the </w:t>
      </w:r>
      <w:r w:rsidRPr="00B62920">
        <w:rPr>
          <w:i/>
          <w:lang w:val="en-GB"/>
        </w:rPr>
        <w:t>Palić</w:t>
      </w:r>
      <w:r w:rsidRPr="00B62920">
        <w:rPr>
          <w:lang w:val="en-GB"/>
        </w:rPr>
        <w:t xml:space="preserve"> case referred to above. The SRSG further notes that this process was “reli</w:t>
      </w:r>
      <w:r w:rsidR="008A0B27" w:rsidRPr="00B62920">
        <w:rPr>
          <w:lang w:val="en-GB"/>
        </w:rPr>
        <w:t>ant on a number of actors other</w:t>
      </w:r>
      <w:r w:rsidRPr="00B62920">
        <w:rPr>
          <w:lang w:val="en-GB"/>
        </w:rPr>
        <w:t xml:space="preserve"> than just UNMIK, for example the International Commission on Missing Persons, the International Committee of the Red Cross and local missing </w:t>
      </w:r>
      <w:proofErr w:type="gramStart"/>
      <w:r w:rsidRPr="00B62920">
        <w:rPr>
          <w:lang w:val="en-GB"/>
        </w:rPr>
        <w:t>persons</w:t>
      </w:r>
      <w:proofErr w:type="gramEnd"/>
      <w:r w:rsidRPr="00B62920">
        <w:rPr>
          <w:lang w:val="en-GB"/>
        </w:rPr>
        <w:t xml:space="preserve"> organisations.” </w:t>
      </w:r>
    </w:p>
    <w:p w:rsidR="003E3F85" w:rsidRPr="00B62920" w:rsidRDefault="003E3F85" w:rsidP="00A62C6D">
      <w:pPr>
        <w:autoSpaceDE w:val="0"/>
        <w:jc w:val="both"/>
      </w:pPr>
    </w:p>
    <w:p w:rsidR="003E3F85" w:rsidRPr="00B62920" w:rsidRDefault="003E3F85" w:rsidP="003E3F85">
      <w:pPr>
        <w:numPr>
          <w:ilvl w:val="0"/>
          <w:numId w:val="2"/>
        </w:numPr>
        <w:tabs>
          <w:tab w:val="left" w:pos="709"/>
        </w:tabs>
        <w:suppressAutoHyphens/>
        <w:autoSpaceDE w:val="0"/>
        <w:jc w:val="both"/>
        <w:rPr>
          <w:lang w:eastAsia="nl-NL"/>
        </w:rPr>
      </w:pPr>
      <w:bookmarkStart w:id="47" w:name="_Ref373942084"/>
      <w:r w:rsidRPr="00B62920">
        <w:t xml:space="preserve">The </w:t>
      </w:r>
      <w:r w:rsidRPr="00B62920">
        <w:rPr>
          <w:bCs/>
          <w:lang w:val="en-GB"/>
        </w:rPr>
        <w:t>SRSG</w:t>
      </w:r>
      <w:r w:rsidRPr="00B62920">
        <w:t xml:space="preserve"> further argues that fundamental to conducting effective investigations is a professional, well-trained and well-resourced police force and that such a force did not exist in Kosovo in the aftermath of the conflict. In the policing vacuum following the end of the conflict, UNMIK had to build a new Kosovo Police Service from scratch, a long and challenging task which, according to the SRSG, is still in progress. The SRSG also states that UNMIK Police faced numerous challenges in exercising law enforcement functions gradually transferred to it by KFOR in 1999-2000. In this regard, he refers to the UNMIK Police Annual Report of 2000 describing the situation as follows:</w:t>
      </w:r>
      <w:bookmarkEnd w:id="47"/>
    </w:p>
    <w:p w:rsidR="003E3F85" w:rsidRPr="00B62920" w:rsidRDefault="003E3F85" w:rsidP="003E3F85">
      <w:pPr>
        <w:pStyle w:val="ListParagraph"/>
        <w:rPr>
          <w:lang w:eastAsia="nl-NL"/>
        </w:rPr>
      </w:pPr>
    </w:p>
    <w:p w:rsidR="003E3F85" w:rsidRPr="00B62920" w:rsidRDefault="003E3F85" w:rsidP="00CA379B">
      <w:pPr>
        <w:ind w:left="862" w:right="567"/>
        <w:jc w:val="both"/>
        <w:rPr>
          <w:lang w:eastAsia="nl-NL"/>
        </w:rPr>
      </w:pPr>
      <w:r w:rsidRPr="00B62920">
        <w:rPr>
          <w:lang w:eastAsia="nl-NL"/>
        </w:rPr>
        <w:t xml:space="preserve">“UNMIK Police had to deal with the aftermath of war, with dead bodies and the looted and burned houses. Ethnic violence flared through illegal evictions, forcible takeovers of properties, the burning of houses and physical violence against communities all over Kosovo. Tempers and tensions were running high amongst all ethnic groups, exacerbated by reports of missing and dead persons. It became imperative for UNMIK Police to establish order and to quickly construct a framework to register and investigate crimes. </w:t>
      </w:r>
    </w:p>
    <w:p w:rsidR="003E3F85" w:rsidRPr="00B62920" w:rsidRDefault="003E3F85" w:rsidP="003E3F85">
      <w:pPr>
        <w:pStyle w:val="ListParagraph"/>
        <w:jc w:val="both"/>
        <w:rPr>
          <w:lang w:eastAsia="nl-NL"/>
        </w:rPr>
      </w:pPr>
    </w:p>
    <w:p w:rsidR="003E3F85" w:rsidRPr="00B62920" w:rsidRDefault="003E3F85" w:rsidP="00CA379B">
      <w:pPr>
        <w:ind w:left="862" w:right="567"/>
        <w:jc w:val="both"/>
        <w:rPr>
          <w:lang w:eastAsia="nl-NL"/>
        </w:rPr>
      </w:pPr>
      <w:r w:rsidRPr="00B62920">
        <w:rPr>
          <w:lang w:eastAsia="nl-NL"/>
        </w:rPr>
        <w:t>All of this had to be done, with limited physical and human resources. Being the first executive mission in the history of the UN, the concept, planning and implementation was being developed on the ground. With 20 different contributory nationalities at the beginning, it was very challenging task for police managers to establish common practices for optimum results in a high-risk environment.”</w:t>
      </w:r>
    </w:p>
    <w:p w:rsidR="003E3F85" w:rsidRPr="00B62920" w:rsidRDefault="003E3F85" w:rsidP="003E3F85">
      <w:pPr>
        <w:pStyle w:val="ListParagraph"/>
        <w:rPr>
          <w:lang w:eastAsia="en-US"/>
        </w:rPr>
      </w:pPr>
    </w:p>
    <w:p w:rsidR="001C2817" w:rsidRPr="00B62920" w:rsidRDefault="001C2817" w:rsidP="001C2817">
      <w:pPr>
        <w:numPr>
          <w:ilvl w:val="0"/>
          <w:numId w:val="2"/>
        </w:numPr>
        <w:tabs>
          <w:tab w:val="left" w:pos="709"/>
        </w:tabs>
        <w:suppressAutoHyphens/>
        <w:autoSpaceDE w:val="0"/>
        <w:jc w:val="both"/>
        <w:rPr>
          <w:lang w:eastAsia="nl-NL"/>
        </w:rPr>
      </w:pPr>
      <w:r w:rsidRPr="00B62920">
        <w:t>The SRSG states that UNMIK Police WCIU included both international UNMIK Police and local Kosovo Police Service officers and focused on the criminal investigati</w:t>
      </w:r>
      <w:r w:rsidR="00E84F72" w:rsidRPr="00B62920">
        <w:t xml:space="preserve">on of cases of missing persons. </w:t>
      </w:r>
      <w:r w:rsidRPr="00B62920">
        <w:t xml:space="preserve">Their responsibility included locating illicit graves, identifying the perpetrators and collecting evidence relating to crimes. UNMIK international police officers working on cases of missing persons had to adjust to conducting investigations in a foreign territory and cultures, with limited support from the still developing Kosovo Police. </w:t>
      </w:r>
    </w:p>
    <w:p w:rsidR="001C2817" w:rsidRPr="00B62920" w:rsidRDefault="001C2817" w:rsidP="001C2817">
      <w:pPr>
        <w:tabs>
          <w:tab w:val="left" w:pos="709"/>
        </w:tabs>
        <w:suppressAutoHyphens/>
        <w:autoSpaceDE w:val="0"/>
        <w:ind w:left="360"/>
        <w:jc w:val="both"/>
        <w:rPr>
          <w:lang w:eastAsia="nl-NL"/>
        </w:rPr>
      </w:pPr>
    </w:p>
    <w:p w:rsidR="003E3F85" w:rsidRPr="00B62920" w:rsidRDefault="003E3F85" w:rsidP="003E3F85">
      <w:pPr>
        <w:numPr>
          <w:ilvl w:val="0"/>
          <w:numId w:val="2"/>
        </w:numPr>
        <w:tabs>
          <w:tab w:val="left" w:pos="709"/>
        </w:tabs>
        <w:suppressAutoHyphens/>
        <w:autoSpaceDE w:val="0"/>
        <w:jc w:val="both"/>
        <w:rPr>
          <w:lang w:eastAsia="nl-NL"/>
        </w:rPr>
      </w:pPr>
      <w:r w:rsidRPr="00B62920">
        <w:t xml:space="preserve">The SRSG states that UNMIK international police officers had to adjust to conducting </w:t>
      </w:r>
      <w:r w:rsidRPr="00B62920">
        <w:rPr>
          <w:bCs/>
          <w:lang w:val="en-GB"/>
        </w:rPr>
        <w:t>investigations</w:t>
      </w:r>
      <w:r w:rsidRPr="00B62920">
        <w:t xml:space="preserve"> in</w:t>
      </w:r>
      <w:r w:rsidR="00D142E8" w:rsidRPr="00B62920">
        <w:t xml:space="preserve"> a foreign territory and cultures</w:t>
      </w:r>
      <w:r w:rsidRPr="00B62920">
        <w:t>, with limited support from the still developing Kosovo Police. He further states that these investigators were often faced with situations where individuals holding relevant knowledge on the whereabouts and fate of missing persons did not want to disclose this information. According to the SRSG, “</w:t>
      </w:r>
      <w:r w:rsidR="002948A6" w:rsidRPr="00B62920">
        <w:t>[</w:t>
      </w:r>
      <w:r w:rsidRPr="00B62920">
        <w:t>s</w:t>
      </w:r>
      <w:r w:rsidR="002948A6" w:rsidRPr="00B62920">
        <w:t>]</w:t>
      </w:r>
      <w:r w:rsidRPr="00B62920">
        <w:t>uch constraints inhibited the ability of</w:t>
      </w:r>
      <w:r w:rsidR="002948A6" w:rsidRPr="00B62920">
        <w:t xml:space="preserve"> an institution such as</w:t>
      </w:r>
      <w:r w:rsidRPr="00B62920">
        <w:t xml:space="preserve"> UNMIK Police</w:t>
      </w:r>
      <w:r w:rsidR="00A437DF" w:rsidRPr="00B62920">
        <w:t xml:space="preserve"> to conduct</w:t>
      </w:r>
      <w:r w:rsidR="002948A6" w:rsidRPr="00B62920">
        <w:t xml:space="preserve"> all</w:t>
      </w:r>
      <w:r w:rsidRPr="00B62920">
        <w:t xml:space="preserve"> investigation</w:t>
      </w:r>
      <w:r w:rsidR="00AA7E95" w:rsidRPr="00B62920">
        <w:t>s in a manner, when viewed systemically,</w:t>
      </w:r>
      <w:r w:rsidR="002948A6" w:rsidRPr="00B62920">
        <w:t xml:space="preserve"> that</w:t>
      </w:r>
      <w:r w:rsidRPr="00B62920">
        <w:t xml:space="preserve"> may be demonstrated, or</w:t>
      </w:r>
      <w:r w:rsidR="002948A6" w:rsidRPr="00B62920">
        <w:t xml:space="preserve"> at least</w:t>
      </w:r>
      <w:r w:rsidRPr="00B62920">
        <w:t xml:space="preserve"> expected,</w:t>
      </w:r>
      <w:r w:rsidR="00A62C6D" w:rsidRPr="00B62920">
        <w:t xml:space="preserve"> in</w:t>
      </w:r>
      <w:r w:rsidR="002948A6" w:rsidRPr="00B62920">
        <w:t xml:space="preserve"> other</w:t>
      </w:r>
      <w:r w:rsidRPr="00B62920">
        <w:t xml:space="preserve"> States with</w:t>
      </w:r>
      <w:r w:rsidR="002948A6" w:rsidRPr="00B62920">
        <w:t xml:space="preserve"> more</w:t>
      </w:r>
      <w:r w:rsidRPr="00B62920">
        <w:t xml:space="preserve"> established</w:t>
      </w:r>
      <w:r w:rsidR="00A437DF" w:rsidRPr="00B62920">
        <w:t xml:space="preserve"> </w:t>
      </w:r>
      <w:r w:rsidRPr="00B62920">
        <w:t>institutions</w:t>
      </w:r>
      <w:r w:rsidR="00A437DF" w:rsidRPr="00B62920">
        <w:t xml:space="preserve"> and without the surge in cases of this nature</w:t>
      </w:r>
      <w:r w:rsidRPr="00B62920">
        <w:t xml:space="preserve"> </w:t>
      </w:r>
      <w:r w:rsidR="00A437DF" w:rsidRPr="00B62920">
        <w:t>associated with a post-conflict situation</w:t>
      </w:r>
      <w:r w:rsidRPr="00B62920">
        <w:t>.”</w:t>
      </w:r>
      <w:bookmarkStart w:id="48" w:name="_Ref387249369"/>
      <w:bookmarkStart w:id="49" w:name="_Ref373946471"/>
      <w:bookmarkStart w:id="50" w:name="_Ref366698716"/>
    </w:p>
    <w:p w:rsidR="003E3F85" w:rsidRPr="00B62920" w:rsidRDefault="003E3F85" w:rsidP="003E3F85">
      <w:pPr>
        <w:tabs>
          <w:tab w:val="left" w:pos="709"/>
        </w:tabs>
        <w:suppressAutoHyphens/>
        <w:autoSpaceDE w:val="0"/>
        <w:ind w:left="360"/>
        <w:jc w:val="both"/>
        <w:rPr>
          <w:lang w:eastAsia="nl-NL"/>
        </w:rPr>
      </w:pPr>
    </w:p>
    <w:p w:rsidR="00601697" w:rsidRPr="00B62920" w:rsidRDefault="003E3F85" w:rsidP="00601697">
      <w:pPr>
        <w:numPr>
          <w:ilvl w:val="0"/>
          <w:numId w:val="2"/>
        </w:numPr>
        <w:tabs>
          <w:tab w:val="left" w:pos="709"/>
        </w:tabs>
        <w:suppressAutoHyphens/>
        <w:autoSpaceDE w:val="0"/>
        <w:jc w:val="both"/>
      </w:pPr>
      <w:bookmarkStart w:id="51" w:name="_Ref420326925"/>
      <w:bookmarkStart w:id="52" w:name="_Ref419722599"/>
      <w:bookmarkStart w:id="53" w:name="_Ref418843155"/>
      <w:bookmarkStart w:id="54" w:name="_Ref416957328"/>
      <w:bookmarkStart w:id="55" w:name="_Ref414014986"/>
      <w:bookmarkStart w:id="56" w:name="_Ref400716090"/>
      <w:bookmarkStart w:id="57" w:name="_Ref397946236"/>
      <w:bookmarkStart w:id="58" w:name="_Ref390942754"/>
      <w:bookmarkStart w:id="59" w:name="_Ref401246390"/>
      <w:r w:rsidRPr="00B62920">
        <w:rPr>
          <w:bCs/>
          <w:lang w:val="en-GB"/>
        </w:rPr>
        <w:t>With</w:t>
      </w:r>
      <w:r w:rsidRPr="00B62920">
        <w:t xml:space="preserve"> </w:t>
      </w:r>
      <w:r w:rsidR="00A62C6D" w:rsidRPr="00B62920">
        <w:t>regard to this particular case</w:t>
      </w:r>
      <w:r w:rsidRPr="00B62920">
        <w:t xml:space="preserve">, the SRSG </w:t>
      </w:r>
      <w:r w:rsidR="00622236" w:rsidRPr="00B62920">
        <w:t>asserts that “</w:t>
      </w:r>
      <w:r w:rsidR="00E21130" w:rsidRPr="00B62920">
        <w:t xml:space="preserve">UNMIK became aware of [Mr Duško </w:t>
      </w:r>
      <w:r w:rsidR="00E21130" w:rsidRPr="00B62920">
        <w:rPr>
          <w:lang w:val="en-GB"/>
        </w:rPr>
        <w:t>Karanović’s] disappear</w:t>
      </w:r>
      <w:r w:rsidR="00A032BD" w:rsidRPr="00B62920">
        <w:rPr>
          <w:lang w:val="en-GB"/>
        </w:rPr>
        <w:t>ance some time in 200</w:t>
      </w:r>
      <w:r w:rsidR="00E21130" w:rsidRPr="00B62920">
        <w:rPr>
          <w:lang w:val="en-GB"/>
        </w:rPr>
        <w:t>0. Based on the information provided in two MPU Reports of 16 March</w:t>
      </w:r>
      <w:r w:rsidR="00D44039" w:rsidRPr="00B62920">
        <w:rPr>
          <w:lang w:val="en-GB"/>
        </w:rPr>
        <w:t xml:space="preserve"> and</w:t>
      </w:r>
      <w:r w:rsidR="00A032BD" w:rsidRPr="00B62920">
        <w:rPr>
          <w:lang w:val="en-GB"/>
        </w:rPr>
        <w:t xml:space="preserve"> 5 October 2004, it is stated that UNMIK Police obtained some information from the internet that Mr. Karanović was killed and his body was found. However, such information is not confirmed in the</w:t>
      </w:r>
      <w:r w:rsidR="002C45DB" w:rsidRPr="00B62920">
        <w:rPr>
          <w:lang w:val="en-GB"/>
        </w:rPr>
        <w:t>…</w:t>
      </w:r>
      <w:r w:rsidR="00A032BD" w:rsidRPr="00B62920">
        <w:rPr>
          <w:lang w:val="en-GB"/>
        </w:rPr>
        <w:t xml:space="preserve"> Investigation Report</w:t>
      </w:r>
      <w:r w:rsidR="002C45DB" w:rsidRPr="00B62920">
        <w:rPr>
          <w:lang w:val="en-GB"/>
        </w:rPr>
        <w:t xml:space="preserve"> [of 24 December 2004]. According to the Investigation Report, UNMIK Police contacted the …Complainant in the instant matter, in order to get more information about his disappearance and any possible indications that could lead to his whereabouts. Unfortunately, she was not able to provide new information that could shed</w:t>
      </w:r>
      <w:r w:rsidR="00AA7E95" w:rsidRPr="00B62920">
        <w:rPr>
          <w:lang w:val="en-GB"/>
        </w:rPr>
        <w:t xml:space="preserve"> some light as to </w:t>
      </w:r>
      <w:r w:rsidR="00AA7E95" w:rsidRPr="00B62920">
        <w:t xml:space="preserve">[Mr Duško </w:t>
      </w:r>
      <w:r w:rsidR="00AA7E95" w:rsidRPr="00B62920">
        <w:rPr>
          <w:lang w:val="en-GB"/>
        </w:rPr>
        <w:t xml:space="preserve">Karanović’s] </w:t>
      </w:r>
      <w:r w:rsidR="002C45DB" w:rsidRPr="00B62920">
        <w:rPr>
          <w:lang w:val="en-GB"/>
        </w:rPr>
        <w:t>whereabouts. But she informed the UNMK Police Officer in charge of the investigation that she will call back. Until 24 December 2004, which is the date of the Investigation Report, she did not call back.</w:t>
      </w:r>
      <w:r w:rsidR="00B0157E" w:rsidRPr="00B62920">
        <w:rPr>
          <w:lang w:val="en-GB"/>
        </w:rPr>
        <w:t xml:space="preserve"> The Investigation Report also notes that there were no witnesses available and that the case required more investigation presumably, if any leads came to light.”</w:t>
      </w:r>
      <w:bookmarkEnd w:id="51"/>
      <w:r w:rsidR="002C45DB" w:rsidRPr="00B62920">
        <w:rPr>
          <w:lang w:val="en-GB"/>
        </w:rPr>
        <w:t xml:space="preserve"> </w:t>
      </w:r>
      <w:r w:rsidR="00A032BD" w:rsidRPr="00B62920">
        <w:rPr>
          <w:lang w:val="en-GB"/>
        </w:rPr>
        <w:t xml:space="preserve"> </w:t>
      </w:r>
      <w:r w:rsidR="00E21130" w:rsidRPr="00B62920">
        <w:rPr>
          <w:lang w:val="en-GB"/>
        </w:rPr>
        <w:t xml:space="preserve"> </w:t>
      </w:r>
      <w:bookmarkEnd w:id="52"/>
    </w:p>
    <w:bookmarkEnd w:id="53"/>
    <w:p w:rsidR="00657648" w:rsidRPr="00B62920" w:rsidRDefault="00657648" w:rsidP="006420FB"/>
    <w:p w:rsidR="00EC2030" w:rsidRPr="00B62920" w:rsidRDefault="00657648" w:rsidP="00EC2030">
      <w:pPr>
        <w:pStyle w:val="ListParagraph"/>
        <w:widowControl w:val="0"/>
        <w:numPr>
          <w:ilvl w:val="0"/>
          <w:numId w:val="2"/>
        </w:numPr>
        <w:tabs>
          <w:tab w:val="left" w:pos="360"/>
          <w:tab w:val="left" w:pos="1080"/>
        </w:tabs>
        <w:contextualSpacing/>
        <w:jc w:val="both"/>
        <w:rPr>
          <w:lang w:eastAsia="en-GB"/>
        </w:rPr>
      </w:pPr>
      <w:bookmarkStart w:id="60" w:name="_Ref420334483"/>
      <w:bookmarkStart w:id="61" w:name="_Ref418848830"/>
      <w:r w:rsidRPr="00B62920">
        <w:t xml:space="preserve">The SRSG argues that </w:t>
      </w:r>
      <w:r w:rsidR="006420FB" w:rsidRPr="00B62920">
        <w:t>“</w:t>
      </w:r>
      <w:r w:rsidR="00B0157E" w:rsidRPr="00B62920">
        <w:t>[</w:t>
      </w:r>
      <w:r w:rsidR="006420FB" w:rsidRPr="00B62920">
        <w:t>w</w:t>
      </w:r>
      <w:r w:rsidR="00B0157E" w:rsidRPr="00B62920">
        <w:t>]</w:t>
      </w:r>
      <w:r w:rsidR="006420FB" w:rsidRPr="00B62920">
        <w:t xml:space="preserve">ith respect to the investigation aimed at identifying and bringing to justice the perpetrators who are responsible for the disappearance of </w:t>
      </w:r>
      <w:r w:rsidR="00B0157E" w:rsidRPr="00B62920">
        <w:rPr>
          <w:lang w:val="en-GB"/>
        </w:rPr>
        <w:t>Mr. Karanović</w:t>
      </w:r>
      <w:r w:rsidR="006420FB" w:rsidRPr="00B62920">
        <w:t>, it can be asserted that</w:t>
      </w:r>
      <w:r w:rsidR="00B0157E" w:rsidRPr="00B62920">
        <w:t xml:space="preserve"> an investigation was conducted by UNMIK….UNMIK Police contacted the family members of </w:t>
      </w:r>
      <w:r w:rsidR="00B0157E" w:rsidRPr="00B62920">
        <w:rPr>
          <w:lang w:val="en-GB"/>
        </w:rPr>
        <w:t>Mr. Karanović in order to get more information regarding the whereabouts of those allegedly responsible for the fate of Mr. Karanović. In the Investigation Report it is stated that ‘</w:t>
      </w:r>
      <w:r w:rsidR="00EC2030" w:rsidRPr="00B62920">
        <w:rPr>
          <w:lang w:val="en-GB"/>
        </w:rPr>
        <w:t>a</w:t>
      </w:r>
      <w:r w:rsidR="00EC2030" w:rsidRPr="00B62920">
        <w:rPr>
          <w:color w:val="000000" w:themeColor="text1"/>
          <w:lang w:val="en-GB"/>
        </w:rPr>
        <w:t>fter investigations, it’s impossible at this time to find an impartial witness. No information leading to a possible MP’s location. This case should remain open pending within the WCU’…UNMIK has noted in other missing persons cases that, without witnesses coming forward or physical evidence being discovered, police investigations inevitably stall because of a lack of evidence.”</w:t>
      </w:r>
      <w:bookmarkEnd w:id="60"/>
    </w:p>
    <w:p w:rsidR="00EC2030" w:rsidRPr="00B62920" w:rsidRDefault="00EC2030" w:rsidP="00EC2030">
      <w:pPr>
        <w:widowControl w:val="0"/>
        <w:tabs>
          <w:tab w:val="left" w:pos="1080"/>
        </w:tabs>
        <w:contextualSpacing/>
        <w:jc w:val="both"/>
        <w:rPr>
          <w:lang w:eastAsia="en-GB"/>
        </w:rPr>
      </w:pPr>
    </w:p>
    <w:p w:rsidR="00E92DED" w:rsidRPr="00B62920" w:rsidRDefault="00B0157E" w:rsidP="00EC2030">
      <w:pPr>
        <w:numPr>
          <w:ilvl w:val="0"/>
          <w:numId w:val="2"/>
        </w:numPr>
        <w:tabs>
          <w:tab w:val="left" w:pos="709"/>
        </w:tabs>
        <w:suppressAutoHyphens/>
        <w:autoSpaceDE w:val="0"/>
        <w:jc w:val="both"/>
      </w:pPr>
      <w:r w:rsidRPr="00B62920">
        <w:rPr>
          <w:lang w:val="en-GB"/>
        </w:rPr>
        <w:t xml:space="preserve"> </w:t>
      </w:r>
      <w:r w:rsidR="006420FB" w:rsidRPr="00B62920">
        <w:t xml:space="preserve"> </w:t>
      </w:r>
      <w:bookmarkStart w:id="62" w:name="_Ref418780005"/>
      <w:bookmarkStart w:id="63" w:name="_Ref416955375"/>
      <w:bookmarkStart w:id="64" w:name="_Ref414013847"/>
      <w:bookmarkStart w:id="65" w:name="_Ref414548989"/>
      <w:bookmarkStart w:id="66" w:name="_Ref409018586"/>
      <w:bookmarkStart w:id="67" w:name="_Ref411961384"/>
      <w:bookmarkStart w:id="68" w:name="_Ref412035115"/>
      <w:bookmarkEnd w:id="48"/>
      <w:bookmarkEnd w:id="49"/>
      <w:bookmarkEnd w:id="54"/>
      <w:bookmarkEnd w:id="55"/>
      <w:bookmarkEnd w:id="56"/>
      <w:bookmarkEnd w:id="57"/>
      <w:bookmarkEnd w:id="58"/>
      <w:bookmarkEnd w:id="59"/>
      <w:bookmarkEnd w:id="61"/>
      <w:r w:rsidR="006420FB" w:rsidRPr="00B62920">
        <w:t>He also</w:t>
      </w:r>
      <w:r w:rsidR="00711F6E" w:rsidRPr="00B62920">
        <w:t xml:space="preserve"> argues that “</w:t>
      </w:r>
      <w:r w:rsidR="00E92DED" w:rsidRPr="00B62920">
        <w:t>it</w:t>
      </w:r>
      <w:r w:rsidR="00657648" w:rsidRPr="00B62920">
        <w:t xml:space="preserve"> is evident that UNMIK Police</w:t>
      </w:r>
      <w:r w:rsidR="006420FB" w:rsidRPr="00B62920">
        <w:t xml:space="preserve"> did</w:t>
      </w:r>
      <w:r w:rsidR="00EC2030" w:rsidRPr="00B62920">
        <w:t xml:space="preserve"> conduct investigative efforts in accordance with the procedural requirements of Article 2, aiming at bringing the perpetrators to justice</w:t>
      </w:r>
      <w:bookmarkStart w:id="69" w:name="_Ref419720824"/>
      <w:bookmarkEnd w:id="62"/>
      <w:bookmarkEnd w:id="63"/>
      <w:r w:rsidR="00EC2030" w:rsidRPr="00B62920">
        <w:t xml:space="preserve">. </w:t>
      </w:r>
      <w:r w:rsidR="00FD5088" w:rsidRPr="00B62920">
        <w:t xml:space="preserve">As </w:t>
      </w:r>
      <w:r w:rsidR="00AA7E95" w:rsidRPr="00B62920">
        <w:t>there is the</w:t>
      </w:r>
      <w:r w:rsidR="00657648" w:rsidRPr="00B62920">
        <w:t xml:space="preserve"> possibility that additional</w:t>
      </w:r>
      <w:r w:rsidR="00FD5088" w:rsidRPr="00B62920">
        <w:t xml:space="preserve"> and conclusive information</w:t>
      </w:r>
      <w:r w:rsidR="00657648" w:rsidRPr="00B62920">
        <w:t xml:space="preserve"> exists, beyond </w:t>
      </w:r>
      <w:r w:rsidR="00657648" w:rsidRPr="00B62920">
        <w:lastRenderedPageBreak/>
        <w:t>the documents mentioned above, UNMIK reserves its right to make further comments on the matter</w:t>
      </w:r>
      <w:r w:rsidR="009A6E2B" w:rsidRPr="00B62920">
        <w:t>.”</w:t>
      </w:r>
      <w:bookmarkEnd w:id="69"/>
      <w:r w:rsidR="009A6E2B" w:rsidRPr="00B62920">
        <w:t xml:space="preserve"> </w:t>
      </w:r>
      <w:bookmarkEnd w:id="64"/>
      <w:bookmarkEnd w:id="65"/>
      <w:bookmarkEnd w:id="66"/>
      <w:bookmarkEnd w:id="67"/>
      <w:bookmarkEnd w:id="68"/>
    </w:p>
    <w:p w:rsidR="009A6E2B" w:rsidRPr="00B62920" w:rsidRDefault="009A6E2B" w:rsidP="009A6E2B">
      <w:pPr>
        <w:tabs>
          <w:tab w:val="left" w:pos="709"/>
        </w:tabs>
        <w:suppressAutoHyphens/>
        <w:autoSpaceDE w:val="0"/>
        <w:jc w:val="both"/>
        <w:rPr>
          <w:bCs/>
          <w:lang w:val="en-GB"/>
        </w:rPr>
      </w:pPr>
    </w:p>
    <w:p w:rsidR="00711F6E" w:rsidRPr="00B62920" w:rsidRDefault="003E3F85" w:rsidP="00711F6E">
      <w:pPr>
        <w:numPr>
          <w:ilvl w:val="0"/>
          <w:numId w:val="2"/>
        </w:numPr>
        <w:tabs>
          <w:tab w:val="left" w:pos="709"/>
        </w:tabs>
        <w:suppressAutoHyphens/>
        <w:autoSpaceDE w:val="0"/>
        <w:jc w:val="both"/>
        <w:rPr>
          <w:lang w:eastAsia="nl-NL"/>
        </w:rPr>
      </w:pPr>
      <w:bookmarkStart w:id="70" w:name="_Ref412035125"/>
      <w:bookmarkStart w:id="71" w:name="_Ref409018550"/>
      <w:bookmarkStart w:id="72" w:name="_Ref367285537"/>
      <w:bookmarkStart w:id="73" w:name="_Ref368319301"/>
      <w:bookmarkEnd w:id="50"/>
      <w:r w:rsidRPr="00B62920">
        <w:rPr>
          <w:lang w:eastAsia="nl-NL"/>
        </w:rPr>
        <w:t xml:space="preserve">The SRSG concludes that </w:t>
      </w:r>
      <w:r w:rsidR="00243A63" w:rsidRPr="00B62920">
        <w:rPr>
          <w:lang w:eastAsia="nl-NL"/>
        </w:rPr>
        <w:t xml:space="preserve">with regard to the complaint, </w:t>
      </w:r>
      <w:r w:rsidR="00AD7F08" w:rsidRPr="00B62920">
        <w:rPr>
          <w:lang w:eastAsia="nl-NL"/>
        </w:rPr>
        <w:t>there has bee</w:t>
      </w:r>
      <w:r w:rsidR="00DD33CB" w:rsidRPr="00B62920">
        <w:rPr>
          <w:lang w:eastAsia="nl-NL"/>
        </w:rPr>
        <w:t>n no</w:t>
      </w:r>
      <w:r w:rsidR="00DB4BC9" w:rsidRPr="00B62920">
        <w:rPr>
          <w:lang w:eastAsia="nl-NL"/>
        </w:rPr>
        <w:t xml:space="preserve"> violation of Article 2</w:t>
      </w:r>
      <w:r w:rsidR="00445981" w:rsidRPr="00B62920">
        <w:rPr>
          <w:lang w:eastAsia="nl-NL"/>
        </w:rPr>
        <w:t xml:space="preserve"> of the </w:t>
      </w:r>
      <w:r w:rsidR="00243A63" w:rsidRPr="00B62920">
        <w:rPr>
          <w:lang w:eastAsia="nl-NL"/>
        </w:rPr>
        <w:t>ECHR.</w:t>
      </w:r>
      <w:bookmarkEnd w:id="70"/>
      <w:r w:rsidR="004F45E5" w:rsidRPr="00B62920">
        <w:rPr>
          <w:lang w:eastAsia="nl-NL"/>
        </w:rPr>
        <w:t xml:space="preserve"> </w:t>
      </w:r>
      <w:bookmarkEnd w:id="71"/>
    </w:p>
    <w:p w:rsidR="001D22C7" w:rsidRPr="00B62920" w:rsidRDefault="001D22C7" w:rsidP="00711F6E">
      <w:pPr>
        <w:tabs>
          <w:tab w:val="left" w:pos="709"/>
        </w:tabs>
        <w:suppressAutoHyphens/>
        <w:autoSpaceDE w:val="0"/>
        <w:jc w:val="both"/>
        <w:rPr>
          <w:lang w:eastAsia="nl-NL"/>
        </w:rPr>
      </w:pPr>
    </w:p>
    <w:bookmarkEnd w:id="72"/>
    <w:bookmarkEnd w:id="73"/>
    <w:p w:rsidR="003E3F85" w:rsidRPr="00B62920" w:rsidRDefault="003E3F85" w:rsidP="003E3F85">
      <w:pPr>
        <w:pStyle w:val="ListParagraph"/>
        <w:numPr>
          <w:ilvl w:val="1"/>
          <w:numId w:val="1"/>
        </w:numPr>
        <w:tabs>
          <w:tab w:val="clear" w:pos="360"/>
          <w:tab w:val="left" w:pos="357"/>
        </w:tabs>
        <w:autoSpaceDE w:val="0"/>
        <w:contextualSpacing/>
        <w:jc w:val="both"/>
        <w:rPr>
          <w:b/>
          <w:lang w:val="en-GB"/>
        </w:rPr>
      </w:pPr>
      <w:r w:rsidRPr="00B62920">
        <w:rPr>
          <w:b/>
          <w:lang w:val="en-GB"/>
        </w:rPr>
        <w:t xml:space="preserve">The </w:t>
      </w:r>
      <w:r w:rsidRPr="00B62920">
        <w:rPr>
          <w:b/>
          <w:bCs/>
          <w:lang w:val="en-GB"/>
        </w:rPr>
        <w:t>Panel’s</w:t>
      </w:r>
      <w:r w:rsidRPr="00B62920">
        <w:rPr>
          <w:b/>
          <w:lang w:val="en-GB"/>
        </w:rPr>
        <w:t xml:space="preserve"> assessment</w:t>
      </w:r>
    </w:p>
    <w:p w:rsidR="003E3F85" w:rsidRPr="00B62920" w:rsidRDefault="003E3F85" w:rsidP="003E3F85">
      <w:pPr>
        <w:jc w:val="both"/>
        <w:rPr>
          <w:lang w:val="en-GB"/>
        </w:rPr>
      </w:pPr>
    </w:p>
    <w:p w:rsidR="003E3F85" w:rsidRPr="00B62920" w:rsidRDefault="003E3F85" w:rsidP="003E3F85">
      <w:pPr>
        <w:numPr>
          <w:ilvl w:val="0"/>
          <w:numId w:val="2"/>
        </w:numPr>
        <w:tabs>
          <w:tab w:val="left" w:pos="709"/>
        </w:tabs>
        <w:suppressAutoHyphens/>
        <w:autoSpaceDE w:val="0"/>
        <w:jc w:val="both"/>
        <w:rPr>
          <w:lang w:val="en-GB"/>
        </w:rPr>
      </w:pPr>
      <w:r w:rsidRPr="00B62920">
        <w:rPr>
          <w:lang w:val="en-GB"/>
        </w:rPr>
        <w:t>The</w:t>
      </w:r>
      <w:r w:rsidRPr="00B62920">
        <w:rPr>
          <w:bCs/>
          <w:lang w:val="en-GB"/>
        </w:rPr>
        <w:t xml:space="preserve"> Panel considers that the complainant invokes a violation of the procedural obligation </w:t>
      </w:r>
      <w:r w:rsidRPr="00B62920">
        <w:rPr>
          <w:lang w:val="en-GB"/>
        </w:rPr>
        <w:t>stemming</w:t>
      </w:r>
      <w:r w:rsidRPr="00B62920">
        <w:rPr>
          <w:bCs/>
          <w:lang w:val="en-GB"/>
        </w:rPr>
        <w:t xml:space="preserve"> from the right to life, guaranteed by Article 2 of the European Convention on Human Rights (ECHR) in that UNMIK did not conduct an effectiv</w:t>
      </w:r>
      <w:r w:rsidR="00622236" w:rsidRPr="00B62920">
        <w:rPr>
          <w:bCs/>
          <w:lang w:val="en-GB"/>
        </w:rPr>
        <w:t>e investigation into the</w:t>
      </w:r>
      <w:r w:rsidR="00657648" w:rsidRPr="00B62920">
        <w:rPr>
          <w:bCs/>
          <w:lang w:val="en-GB"/>
        </w:rPr>
        <w:t xml:space="preserve"> </w:t>
      </w:r>
      <w:r w:rsidR="001F0511" w:rsidRPr="00B62920">
        <w:rPr>
          <w:bCs/>
          <w:lang w:val="en-GB"/>
        </w:rPr>
        <w:t>disappearance</w:t>
      </w:r>
      <w:r w:rsidRPr="00B62920">
        <w:rPr>
          <w:bCs/>
          <w:lang w:val="en-GB"/>
        </w:rPr>
        <w:t xml:space="preserve"> of </w:t>
      </w:r>
      <w:r w:rsidR="00EC2030" w:rsidRPr="00B62920">
        <w:t xml:space="preserve">Mr Duško </w:t>
      </w:r>
      <w:r w:rsidR="00EC2030" w:rsidRPr="00B62920">
        <w:rPr>
          <w:lang w:val="en-GB"/>
        </w:rPr>
        <w:t>Karanović</w:t>
      </w:r>
      <w:r w:rsidRPr="00B62920">
        <w:rPr>
          <w:lang w:val="en-GB"/>
        </w:rPr>
        <w:t>.</w:t>
      </w:r>
    </w:p>
    <w:p w:rsidR="003E3F85" w:rsidRPr="00B62920" w:rsidRDefault="003E3F85" w:rsidP="003E3F85">
      <w:pPr>
        <w:pStyle w:val="ListParagraph"/>
        <w:autoSpaceDE w:val="0"/>
        <w:ind w:left="360"/>
        <w:jc w:val="both"/>
        <w:rPr>
          <w:lang w:val="en-GB"/>
        </w:rPr>
      </w:pPr>
    </w:p>
    <w:p w:rsidR="003E3F85" w:rsidRPr="00B62920" w:rsidRDefault="003E3F85" w:rsidP="003E3F85">
      <w:pPr>
        <w:pStyle w:val="ListParagraph"/>
        <w:numPr>
          <w:ilvl w:val="0"/>
          <w:numId w:val="7"/>
        </w:numPr>
        <w:contextualSpacing/>
        <w:jc w:val="both"/>
        <w:rPr>
          <w:i/>
          <w:lang w:val="en-GB"/>
        </w:rPr>
      </w:pPr>
      <w:r w:rsidRPr="00B62920">
        <w:rPr>
          <w:i/>
          <w:lang w:val="en-GB"/>
        </w:rPr>
        <w:t>Submission of relevant files</w:t>
      </w:r>
    </w:p>
    <w:p w:rsidR="003E3F85" w:rsidRPr="00B62920" w:rsidRDefault="003E3F85" w:rsidP="003E3F85">
      <w:pPr>
        <w:pStyle w:val="ListParagraph"/>
        <w:autoSpaceDE w:val="0"/>
        <w:ind w:left="450"/>
        <w:jc w:val="both"/>
      </w:pPr>
      <w:bookmarkStart w:id="74" w:name="_Ref354590617"/>
    </w:p>
    <w:p w:rsidR="00E92DED" w:rsidRPr="00B62920" w:rsidRDefault="003E3F85" w:rsidP="00E92DED">
      <w:pPr>
        <w:numPr>
          <w:ilvl w:val="0"/>
          <w:numId w:val="2"/>
        </w:numPr>
        <w:tabs>
          <w:tab w:val="left" w:pos="709"/>
        </w:tabs>
        <w:suppressAutoHyphens/>
        <w:autoSpaceDE w:val="0"/>
        <w:jc w:val="both"/>
      </w:pPr>
      <w:r w:rsidRPr="00B62920">
        <w:rPr>
          <w:lang w:val="en-GB"/>
        </w:rPr>
        <w:t xml:space="preserve">At the Panel’s request, </w:t>
      </w:r>
      <w:r w:rsidR="00E92DED" w:rsidRPr="00B62920">
        <w:rPr>
          <w:lang w:val="en-GB"/>
        </w:rPr>
        <w:t xml:space="preserve">on </w:t>
      </w:r>
      <w:r w:rsidR="00EC2030" w:rsidRPr="00B62920">
        <w:rPr>
          <w:lang w:val="en-GB"/>
        </w:rPr>
        <w:t>11</w:t>
      </w:r>
      <w:r w:rsidR="00874A40" w:rsidRPr="00B62920">
        <w:rPr>
          <w:lang w:val="en-GB"/>
        </w:rPr>
        <w:t xml:space="preserve"> </w:t>
      </w:r>
      <w:r w:rsidR="00EC2030" w:rsidRPr="00B62920">
        <w:rPr>
          <w:lang w:val="en-GB"/>
        </w:rPr>
        <w:t>February</w:t>
      </w:r>
      <w:r w:rsidR="00E92DED" w:rsidRPr="00B62920">
        <w:rPr>
          <w:lang w:val="en-GB"/>
        </w:rPr>
        <w:t xml:space="preserve"> 2013, </w:t>
      </w:r>
      <w:r w:rsidR="00AD7F08" w:rsidRPr="00B62920">
        <w:rPr>
          <w:lang w:val="en-GB"/>
        </w:rPr>
        <w:t xml:space="preserve">the </w:t>
      </w:r>
      <w:r w:rsidR="00AD7F08" w:rsidRPr="00B62920">
        <w:rPr>
          <w:bCs/>
          <w:lang w:val="en-GB"/>
        </w:rPr>
        <w:t>SRSG</w:t>
      </w:r>
      <w:r w:rsidR="00AD7F08" w:rsidRPr="00B62920">
        <w:rPr>
          <w:lang w:val="en-GB"/>
        </w:rPr>
        <w:t xml:space="preserve"> provided copies of the documents </w:t>
      </w:r>
      <w:r w:rsidR="00AD7F08" w:rsidRPr="00B62920">
        <w:rPr>
          <w:bCs/>
          <w:color w:val="000000" w:themeColor="text1"/>
        </w:rPr>
        <w:t>related</w:t>
      </w:r>
      <w:r w:rsidR="00AD7F08" w:rsidRPr="00B62920">
        <w:rPr>
          <w:lang w:val="en-GB"/>
        </w:rPr>
        <w:t xml:space="preserve"> to the investigations subject of the present complaint, </w:t>
      </w:r>
      <w:r w:rsidR="00E92DED" w:rsidRPr="00B62920">
        <w:rPr>
          <w:lang w:val="en-GB"/>
        </w:rPr>
        <w:t>which UNMIK was able to recover.</w:t>
      </w:r>
      <w:r w:rsidR="00AD7F08" w:rsidRPr="00B62920">
        <w:rPr>
          <w:lang w:val="en-GB"/>
        </w:rPr>
        <w:t xml:space="preserve"> </w:t>
      </w:r>
      <w:r w:rsidRPr="00B62920">
        <w:rPr>
          <w:lang w:val="en-GB"/>
        </w:rPr>
        <w:t>O</w:t>
      </w:r>
      <w:r w:rsidRPr="00B62920">
        <w:t xml:space="preserve">n </w:t>
      </w:r>
      <w:r w:rsidR="0038766F" w:rsidRPr="00B62920">
        <w:t>18</w:t>
      </w:r>
      <w:r w:rsidR="001850F5" w:rsidRPr="00B62920">
        <w:t xml:space="preserve"> </w:t>
      </w:r>
      <w:r w:rsidR="0038766F" w:rsidRPr="00B62920">
        <w:t>May</w:t>
      </w:r>
      <w:r w:rsidR="00E92DED" w:rsidRPr="00B62920">
        <w:t xml:space="preserve"> </w:t>
      </w:r>
      <w:r w:rsidR="00AD7F08" w:rsidRPr="00B62920">
        <w:t>2015</w:t>
      </w:r>
      <w:r w:rsidR="00B77C87" w:rsidRPr="00B62920">
        <w:t xml:space="preserve">, </w:t>
      </w:r>
      <w:r w:rsidRPr="00B62920">
        <w:t xml:space="preserve">UNMIK confirmed to the Panel that no more files have been located, thus the disclosure may be considered complete (see § </w:t>
      </w:r>
      <w:r w:rsidR="00E92DED" w:rsidRPr="00B62920">
        <w:fldChar w:fldCharType="begin"/>
      </w:r>
      <w:r w:rsidR="00E92DED" w:rsidRPr="00B62920">
        <w:instrText xml:space="preserve"> REF _Ref414013761 \r \h </w:instrText>
      </w:r>
      <w:r w:rsidR="009A6E2B" w:rsidRPr="00B62920">
        <w:instrText xml:space="preserve"> \* MERGEFORMAT </w:instrText>
      </w:r>
      <w:r w:rsidR="00E92DED" w:rsidRPr="00B62920">
        <w:fldChar w:fldCharType="separate"/>
      </w:r>
      <w:r w:rsidR="00B52E51">
        <w:t>7</w:t>
      </w:r>
      <w:r w:rsidR="00E92DED" w:rsidRPr="00B62920">
        <w:fldChar w:fldCharType="end"/>
      </w:r>
      <w:r w:rsidRPr="00B62920">
        <w:t xml:space="preserve"> above).</w:t>
      </w:r>
      <w:bookmarkEnd w:id="74"/>
    </w:p>
    <w:p w:rsidR="003E3F85" w:rsidRPr="00B62920" w:rsidRDefault="003E3F85" w:rsidP="003E3F85">
      <w:pPr>
        <w:suppressAutoHyphens/>
        <w:ind w:left="360"/>
        <w:jc w:val="both"/>
        <w:rPr>
          <w:lang w:val="en-GB"/>
        </w:rPr>
      </w:pPr>
    </w:p>
    <w:p w:rsidR="003E3F85" w:rsidRPr="00B62920" w:rsidRDefault="003E3F85" w:rsidP="003E3F85">
      <w:pPr>
        <w:numPr>
          <w:ilvl w:val="0"/>
          <w:numId w:val="2"/>
        </w:numPr>
        <w:tabs>
          <w:tab w:val="left" w:pos="709"/>
        </w:tabs>
        <w:suppressAutoHyphens/>
        <w:autoSpaceDE w:val="0"/>
        <w:jc w:val="both"/>
        <w:rPr>
          <w:lang w:val="en-GB"/>
        </w:rPr>
      </w:pPr>
      <w:bookmarkStart w:id="75" w:name="_Ref414015112"/>
      <w:r w:rsidRPr="00B62920">
        <w:rPr>
          <w:lang w:val="en-GB"/>
        </w:rPr>
        <w:t xml:space="preserve">The Panel notes that Section 15 of UNMIK Regulation No. 2006/12 states that the Panel may request the submission from UNMIK of any documents and that the SRSG shall cooperate with the Panel and </w:t>
      </w:r>
      <w:proofErr w:type="gramStart"/>
      <w:r w:rsidRPr="00B62920">
        <w:rPr>
          <w:lang w:val="en-GB"/>
        </w:rPr>
        <w:t>provide</w:t>
      </w:r>
      <w:proofErr w:type="gramEnd"/>
      <w:r w:rsidRPr="00B62920">
        <w:rPr>
          <w:lang w:val="en-GB"/>
        </w:rPr>
        <w:t xml:space="preserve"> the necessary assistance including, in particular, in the release of documents and information relevant to the complaint. The Panel in this regard refers to the case-law of the European Court of Human Rights that inferences shall be drawn from the conduct of the respondent party during the proceedings, including from its failure “to submit information in their hands without a satisfactory explanation” (see ECtHR, </w:t>
      </w:r>
      <w:r w:rsidRPr="00B62920">
        <w:rPr>
          <w:i/>
          <w:lang w:val="en-GB"/>
        </w:rPr>
        <w:t>Çelikbilek v. Turkey</w:t>
      </w:r>
      <w:r w:rsidRPr="00B62920">
        <w:rPr>
          <w:lang w:val="en-GB"/>
        </w:rPr>
        <w:t xml:space="preserve">, </w:t>
      </w:r>
      <w:r w:rsidRPr="00B62920">
        <w:rPr>
          <w:lang w:val="en-GB" w:eastAsia="nl-BE"/>
        </w:rPr>
        <w:t>no. 27693/95, judgment of 31 May 2005</w:t>
      </w:r>
      <w:r w:rsidRPr="00B62920">
        <w:rPr>
          <w:i/>
          <w:iCs/>
          <w:lang w:val="en-GB" w:eastAsia="nl-BE"/>
        </w:rPr>
        <w:t>,</w:t>
      </w:r>
      <w:r w:rsidRPr="00B62920">
        <w:rPr>
          <w:iCs/>
          <w:lang w:val="en-GB" w:eastAsia="nl-BE"/>
        </w:rPr>
        <w:t xml:space="preserve"> § 56).</w:t>
      </w:r>
      <w:bookmarkEnd w:id="75"/>
      <w:r w:rsidRPr="00B62920">
        <w:rPr>
          <w:rFonts w:ascii="Helv" w:hAnsi="Helv" w:cs="Helv"/>
          <w:sz w:val="20"/>
          <w:szCs w:val="20"/>
          <w:lang w:val="en-GB" w:eastAsia="nl-BE"/>
        </w:rPr>
        <w:t xml:space="preserve"> </w:t>
      </w:r>
    </w:p>
    <w:p w:rsidR="003E3F85" w:rsidRPr="00B62920" w:rsidRDefault="003E3F85" w:rsidP="003E3F85">
      <w:pPr>
        <w:pStyle w:val="ListParagraph"/>
        <w:rPr>
          <w:lang w:val="en-GB"/>
        </w:rPr>
      </w:pPr>
    </w:p>
    <w:p w:rsidR="009923E7" w:rsidRPr="00B62920" w:rsidRDefault="003E3F85" w:rsidP="007D0DD0">
      <w:pPr>
        <w:pStyle w:val="ListParagraph"/>
        <w:numPr>
          <w:ilvl w:val="0"/>
          <w:numId w:val="2"/>
        </w:numPr>
        <w:jc w:val="both"/>
        <w:rPr>
          <w:lang w:val="en-GB" w:eastAsia="en-US"/>
        </w:rPr>
      </w:pPr>
      <w:bookmarkStart w:id="76" w:name="_Ref409786758"/>
      <w:r w:rsidRPr="00B62920">
        <w:rPr>
          <w:lang w:val="en-GB"/>
        </w:rPr>
        <w:t xml:space="preserve">Furthermore, the Panel notes that the proper maintenance of investigative files concerning crimes such as killings and disappearances, from the opening of the investigations to their handing over, is crucial to the continuation of such investigations and failure to do so could thus raise </w:t>
      </w:r>
      <w:r w:rsidRPr="00B62920">
        <w:rPr>
          <w:i/>
          <w:lang w:val="en-GB"/>
        </w:rPr>
        <w:t>per se</w:t>
      </w:r>
      <w:r w:rsidR="009923E7" w:rsidRPr="00B62920">
        <w:rPr>
          <w:lang w:val="en-GB"/>
        </w:rPr>
        <w:t xml:space="preserve"> issues under Article 2 </w:t>
      </w:r>
      <w:r w:rsidR="009923E7" w:rsidRPr="00B62920">
        <w:rPr>
          <w:lang w:val="en-GB" w:eastAsia="en-US"/>
        </w:rPr>
        <w:t xml:space="preserve">(see HRAP, </w:t>
      </w:r>
      <w:r w:rsidR="009923E7" w:rsidRPr="00B62920">
        <w:rPr>
          <w:i/>
          <w:lang w:val="en-GB" w:eastAsia="en-US"/>
        </w:rPr>
        <w:t>Bulatović</w:t>
      </w:r>
      <w:r w:rsidR="009923E7" w:rsidRPr="00B62920">
        <w:rPr>
          <w:lang w:val="en-GB" w:eastAsia="en-US"/>
        </w:rPr>
        <w:t>, no. 166/09, opinion of 13 November 2014, § 62).</w:t>
      </w:r>
      <w:bookmarkEnd w:id="76"/>
    </w:p>
    <w:p w:rsidR="003E3F85" w:rsidRPr="00B62920" w:rsidRDefault="003E3F85" w:rsidP="00AD7F08">
      <w:pPr>
        <w:rPr>
          <w:b/>
          <w:lang w:val="en-GB"/>
        </w:rPr>
      </w:pPr>
    </w:p>
    <w:p w:rsidR="003E3F85" w:rsidRPr="00B62920" w:rsidRDefault="003E3F85" w:rsidP="003E3F85">
      <w:pPr>
        <w:numPr>
          <w:ilvl w:val="0"/>
          <w:numId w:val="2"/>
        </w:numPr>
        <w:tabs>
          <w:tab w:val="left" w:pos="709"/>
        </w:tabs>
        <w:suppressAutoHyphens/>
        <w:autoSpaceDE w:val="0"/>
        <w:jc w:val="both"/>
        <w:rPr>
          <w:b/>
          <w:lang w:val="en-GB"/>
        </w:rPr>
      </w:pPr>
      <w:bookmarkStart w:id="77" w:name="_Ref373945461"/>
      <w:r w:rsidRPr="00B62920">
        <w:t xml:space="preserve">The </w:t>
      </w:r>
      <w:r w:rsidRPr="00B62920">
        <w:rPr>
          <w:lang w:val="en-GB"/>
        </w:rPr>
        <w:t>Panel has no reason to doubt that UNMIK undertook all efforts in order to obtain the relevant</w:t>
      </w:r>
      <w:r w:rsidRPr="00B62920">
        <w:t xml:space="preserve"> investigative files. However, the Panel notes that UNMIK has not provided any explanation as to why the documentation may be incomplete, nor with respect to which parts.</w:t>
      </w:r>
      <w:bookmarkEnd w:id="77"/>
    </w:p>
    <w:p w:rsidR="003E3F85" w:rsidRPr="00B62920" w:rsidRDefault="003E3F85" w:rsidP="003E3F85">
      <w:pPr>
        <w:pStyle w:val="ListParagraph"/>
        <w:rPr>
          <w:lang w:val="en-GB"/>
        </w:rPr>
      </w:pPr>
    </w:p>
    <w:p w:rsidR="003E3F85" w:rsidRPr="00B62920" w:rsidRDefault="003E3F85" w:rsidP="003E3F85">
      <w:pPr>
        <w:numPr>
          <w:ilvl w:val="0"/>
          <w:numId w:val="2"/>
        </w:numPr>
        <w:tabs>
          <w:tab w:val="left" w:pos="709"/>
        </w:tabs>
        <w:suppressAutoHyphens/>
        <w:autoSpaceDE w:val="0"/>
        <w:jc w:val="both"/>
        <w:rPr>
          <w:lang w:val="en-GB"/>
        </w:rPr>
      </w:pPr>
      <w:r w:rsidRPr="00B62920">
        <w:rPr>
          <w:lang w:val="en-GB"/>
        </w:rPr>
        <w:t>The Panel itself is not in the position to verify the completeness of the investigative files received.</w:t>
      </w:r>
      <w:r w:rsidR="002E1F96" w:rsidRPr="00B62920">
        <w:rPr>
          <w:lang w:val="en-GB"/>
        </w:rPr>
        <w:t xml:space="preserve"> </w:t>
      </w:r>
      <w:r w:rsidRPr="00B62920">
        <w:rPr>
          <w:lang w:val="en-GB"/>
        </w:rPr>
        <w:t xml:space="preserve">The Panel will therefore assess the merits of the complaint on the basis of documents made available (in this sense, see ECtHR, </w:t>
      </w:r>
      <w:r w:rsidRPr="00B62920">
        <w:rPr>
          <w:i/>
          <w:lang w:val="en-GB"/>
        </w:rPr>
        <w:t>Tsechoyev v. Russia</w:t>
      </w:r>
      <w:r w:rsidRPr="00B62920">
        <w:rPr>
          <w:lang w:val="en-GB"/>
        </w:rPr>
        <w:t>, no. 39358/05, judgment of</w:t>
      </w:r>
      <w:r w:rsidRPr="00B62920">
        <w:rPr>
          <w:i/>
          <w:lang w:val="en-GB"/>
        </w:rPr>
        <w:t xml:space="preserve"> </w:t>
      </w:r>
      <w:r w:rsidRPr="00B62920">
        <w:rPr>
          <w:lang w:val="en-GB"/>
        </w:rPr>
        <w:t xml:space="preserve">15 March 2011, § 146).  </w:t>
      </w:r>
      <w:bookmarkStart w:id="78" w:name="_Ref366241114"/>
    </w:p>
    <w:p w:rsidR="003E3F85" w:rsidRPr="00B62920" w:rsidRDefault="003E3F85" w:rsidP="003E3F85">
      <w:pPr>
        <w:pStyle w:val="ListParagraph"/>
        <w:rPr>
          <w:lang w:val="en-GB"/>
        </w:rPr>
      </w:pPr>
    </w:p>
    <w:p w:rsidR="003E3F85" w:rsidRPr="00B62920" w:rsidRDefault="003E3F85" w:rsidP="003E3F85">
      <w:pPr>
        <w:pStyle w:val="ListParagraph"/>
        <w:numPr>
          <w:ilvl w:val="0"/>
          <w:numId w:val="7"/>
        </w:numPr>
        <w:contextualSpacing/>
        <w:jc w:val="both"/>
        <w:rPr>
          <w:i/>
          <w:lang w:val="en-GB"/>
        </w:rPr>
      </w:pPr>
      <w:r w:rsidRPr="00B62920">
        <w:rPr>
          <w:i/>
          <w:lang w:val="en-GB" w:eastAsia="en-US"/>
        </w:rPr>
        <w:t>General</w:t>
      </w:r>
      <w:r w:rsidRPr="00B62920">
        <w:rPr>
          <w:i/>
          <w:lang w:val="en-GB"/>
        </w:rPr>
        <w:t xml:space="preserve"> principles concerning the obligation to conduct an effective investigation under Article 2</w:t>
      </w:r>
    </w:p>
    <w:p w:rsidR="00C4755E" w:rsidRPr="00B62920" w:rsidRDefault="00C4755E" w:rsidP="009A6E2B">
      <w:pPr>
        <w:suppressAutoHyphens/>
        <w:autoSpaceDE w:val="0"/>
        <w:jc w:val="both"/>
        <w:rPr>
          <w:color w:val="000000"/>
        </w:rPr>
      </w:pPr>
      <w:bookmarkStart w:id="79" w:name="_Ref409081615"/>
    </w:p>
    <w:p w:rsidR="00657648" w:rsidRPr="00B62920" w:rsidRDefault="00657648" w:rsidP="00657648">
      <w:pPr>
        <w:numPr>
          <w:ilvl w:val="0"/>
          <w:numId w:val="2"/>
        </w:numPr>
        <w:suppressAutoHyphens/>
        <w:autoSpaceDE w:val="0"/>
        <w:jc w:val="both"/>
      </w:pPr>
      <w:bookmarkStart w:id="80" w:name="_Ref412035639"/>
      <w:bookmarkStart w:id="81" w:name="_Ref412809772"/>
      <w:r w:rsidRPr="00B62920">
        <w:t>First, the Panel considers that the limited content of the investigative files, in particular in the light of the SRSG’s argument that “</w:t>
      </w:r>
      <w:r w:rsidR="00AA7E95" w:rsidRPr="00B62920">
        <w:t>there is the</w:t>
      </w:r>
      <w:r w:rsidR="00FD5088" w:rsidRPr="00B62920">
        <w:t xml:space="preserve"> possibility that additional and conclusive information exists, beyond the documents mentioned</w:t>
      </w:r>
      <w:r w:rsidR="00874A40" w:rsidRPr="00B62920">
        <w:t>”</w:t>
      </w:r>
      <w:r w:rsidRPr="00B62920">
        <w:t xml:space="preserve"> (see § </w:t>
      </w:r>
      <w:r w:rsidR="00FD5088" w:rsidRPr="00B62920">
        <w:fldChar w:fldCharType="begin"/>
      </w:r>
      <w:r w:rsidR="00FD5088" w:rsidRPr="00B62920">
        <w:instrText xml:space="preserve"> REF _Ref419720824 \r \h </w:instrText>
      </w:r>
      <w:r w:rsidR="00B62920" w:rsidRPr="00B62920">
        <w:instrText xml:space="preserve"> \* MERGEFORMAT </w:instrText>
      </w:r>
      <w:r w:rsidR="00FD5088" w:rsidRPr="00B62920">
        <w:fldChar w:fldCharType="separate"/>
      </w:r>
      <w:r w:rsidR="00B52E51">
        <w:t>55</w:t>
      </w:r>
      <w:r w:rsidR="00FD5088" w:rsidRPr="00B62920">
        <w:fldChar w:fldCharType="end"/>
      </w:r>
      <w:r w:rsidRPr="00B62920">
        <w:t xml:space="preserve"> above)</w:t>
      </w:r>
      <w:r w:rsidR="00874A40" w:rsidRPr="00B62920">
        <w:t>,</w:t>
      </w:r>
      <w:r w:rsidRPr="00B62920">
        <w:t xml:space="preserve"> raises issues of the burden of proof. In this regard, the Panel refers to the approach of the </w:t>
      </w:r>
      <w:r w:rsidRPr="00B62920">
        <w:rPr>
          <w:color w:val="000000"/>
        </w:rPr>
        <w:t>European Court on Human Rights as well as of the United Nations Human Rights Committee (HRC) on the matter</w:t>
      </w:r>
      <w:r w:rsidRPr="00B62920">
        <w:t>. The general rule is that it is for the party who asserts a proposition of fact to prove it, but that this is not a rigid rule.</w:t>
      </w:r>
      <w:bookmarkStart w:id="82" w:name="_Ref342296805"/>
      <w:bookmarkEnd w:id="80"/>
    </w:p>
    <w:p w:rsidR="00657648" w:rsidRPr="00B62920" w:rsidRDefault="00657648" w:rsidP="00657648">
      <w:pPr>
        <w:suppressAutoHyphens/>
        <w:autoSpaceDE w:val="0"/>
        <w:ind w:left="360"/>
        <w:jc w:val="both"/>
      </w:pPr>
    </w:p>
    <w:p w:rsidR="00657648" w:rsidRPr="00B62920" w:rsidRDefault="00657648" w:rsidP="00657648">
      <w:pPr>
        <w:numPr>
          <w:ilvl w:val="0"/>
          <w:numId w:val="2"/>
        </w:numPr>
        <w:suppressAutoHyphens/>
        <w:autoSpaceDE w:val="0"/>
        <w:jc w:val="both"/>
      </w:pPr>
      <w:r w:rsidRPr="00B62920">
        <w:t xml:space="preserve">Following this general rule, at the admissibility stage an applicant must present facts, which are supportive of the allegations of the State’s responsibility, that is, to establish a </w:t>
      </w:r>
      <w:r w:rsidRPr="00B62920">
        <w:rPr>
          <w:i/>
        </w:rPr>
        <w:t>prima facie</w:t>
      </w:r>
      <w:r w:rsidRPr="00B62920">
        <w:t xml:space="preserve"> case against the authorities (see, </w:t>
      </w:r>
      <w:r w:rsidRPr="00B62920">
        <w:rPr>
          <w:i/>
        </w:rPr>
        <w:t>mutatis mutandis</w:t>
      </w:r>
      <w:r w:rsidRPr="00B62920">
        <w:t xml:space="preserve">, ECtHR, </w:t>
      </w:r>
      <w:r w:rsidRPr="00B62920">
        <w:rPr>
          <w:i/>
          <w:iCs/>
        </w:rPr>
        <w:t>Artico v. Italy</w:t>
      </w:r>
      <w:r w:rsidRPr="00B62920">
        <w:t xml:space="preserve">, no. 6694/74, judgment of 13 May 1980, §§ 29-30, Series A no. 37; ECtHR, </w:t>
      </w:r>
      <w:r w:rsidRPr="00B62920">
        <w:rPr>
          <w:i/>
        </w:rPr>
        <w:t>Toğcu v. Turkey</w:t>
      </w:r>
      <w:r w:rsidRPr="00B62920">
        <w:t xml:space="preserve">, no. 27601/95, judgment of 31 May 2005, § 95). However, the European Court further holds that “... where the events in issue lie wholly, or in large part, within the exclusive knowledge of the authorities … The burden of proof may then be regarded as resting on the authorities to provide a satisfactory and convincing explanation” (see ECtHR [GC], </w:t>
      </w:r>
      <w:r w:rsidRPr="00B62920">
        <w:rPr>
          <w:i/>
          <w:iCs/>
        </w:rPr>
        <w:t>Varnava and Others v Turkey</w:t>
      </w:r>
      <w:r w:rsidRPr="00B62920">
        <w:rPr>
          <w:iCs/>
        </w:rPr>
        <w:t>,</w:t>
      </w:r>
      <w:r w:rsidRPr="00B62920">
        <w:rPr>
          <w:i/>
          <w:iCs/>
        </w:rPr>
        <w:t xml:space="preserve"> </w:t>
      </w:r>
      <w:r w:rsidRPr="00B62920">
        <w:t xml:space="preserve">cited above in § </w:t>
      </w:r>
      <w:r w:rsidRPr="00B62920">
        <w:fldChar w:fldCharType="begin"/>
      </w:r>
      <w:r w:rsidRPr="00B62920">
        <w:instrText xml:space="preserve"> REF _Ref346123885 \r \h </w:instrText>
      </w:r>
      <w:r w:rsidR="00E84F72" w:rsidRPr="00B62920">
        <w:instrText xml:space="preserve"> \* MERGEFORMAT </w:instrText>
      </w:r>
      <w:r w:rsidRPr="00B62920">
        <w:fldChar w:fldCharType="separate"/>
      </w:r>
      <w:r w:rsidR="00B52E51">
        <w:t>40</w:t>
      </w:r>
      <w:r w:rsidRPr="00B62920">
        <w:fldChar w:fldCharType="end"/>
      </w:r>
      <w:r w:rsidRPr="00B62920">
        <w:t>, at §§ 183-184).</w:t>
      </w:r>
      <w:bookmarkStart w:id="83" w:name="_Ref354502773"/>
      <w:bookmarkEnd w:id="82"/>
    </w:p>
    <w:p w:rsidR="00657648" w:rsidRPr="00B62920" w:rsidRDefault="00657648" w:rsidP="00657648">
      <w:pPr>
        <w:pStyle w:val="ListParagraph"/>
      </w:pPr>
    </w:p>
    <w:p w:rsidR="00657648" w:rsidRPr="00B62920" w:rsidRDefault="00657648" w:rsidP="00657648">
      <w:pPr>
        <w:numPr>
          <w:ilvl w:val="0"/>
          <w:numId w:val="2"/>
        </w:numPr>
        <w:suppressAutoHyphens/>
        <w:autoSpaceDE w:val="0"/>
        <w:jc w:val="both"/>
      </w:pPr>
      <w:r w:rsidRPr="00B62920">
        <w:t xml:space="preserve">The European Court also states that “... it is for the Government either to argue conclusively why the documents in question cannot serve to corroborate the allegations made by the applicants, or to provide a satisfactory and convincing explanation of how the events in question occurred, failing which an issue under Article 2 and/or Article 3 of the Convention will arise” (see ECtHR, </w:t>
      </w:r>
      <w:r w:rsidRPr="00B62920">
        <w:rPr>
          <w:i/>
          <w:iCs/>
        </w:rPr>
        <w:t>Akkum and Others v. Turkey</w:t>
      </w:r>
      <w:r w:rsidRPr="00B62920">
        <w:t xml:space="preserve">, no. 21894/93, judgment of 24 June 2005, § 211, ECHR 2005-II (extracts)). The Court adds that “… [i]f they [the authorities] then fail to disclose crucial documents to enable the Court to establish the facts or otherwise provide a satisfactory and convincing explanation, strong inferences may be drawn” (see ECtHR, </w:t>
      </w:r>
      <w:r w:rsidRPr="00B62920">
        <w:rPr>
          <w:i/>
          <w:iCs/>
        </w:rPr>
        <w:t>Varnava and Others v Turkey</w:t>
      </w:r>
      <w:r w:rsidRPr="00B62920">
        <w:rPr>
          <w:iCs/>
        </w:rPr>
        <w:t xml:space="preserve"> [GC],</w:t>
      </w:r>
      <w:r w:rsidRPr="00B62920">
        <w:rPr>
          <w:i/>
          <w:iCs/>
        </w:rPr>
        <w:t xml:space="preserve"> </w:t>
      </w:r>
      <w:r w:rsidRPr="00B62920">
        <w:t xml:space="preserve">cited above in § </w:t>
      </w:r>
      <w:r w:rsidRPr="00B62920">
        <w:fldChar w:fldCharType="begin"/>
      </w:r>
      <w:r w:rsidRPr="00B62920">
        <w:instrText xml:space="preserve"> REF _Ref346123885 \r \h </w:instrText>
      </w:r>
      <w:r w:rsidR="00E84F72" w:rsidRPr="00B62920">
        <w:instrText xml:space="preserve"> \* MERGEFORMAT </w:instrText>
      </w:r>
      <w:r w:rsidRPr="00B62920">
        <w:fldChar w:fldCharType="separate"/>
      </w:r>
      <w:r w:rsidR="00B52E51">
        <w:t>40</w:t>
      </w:r>
      <w:r w:rsidRPr="00B62920">
        <w:fldChar w:fldCharType="end"/>
      </w:r>
      <w:r w:rsidRPr="00B62920">
        <w:t>, at § 184; see also, HRC,</w:t>
      </w:r>
      <w:r w:rsidRPr="00B62920">
        <w:rPr>
          <w:i/>
        </w:rPr>
        <w:t xml:space="preserve"> Benaniza v Algeria,</w:t>
      </w:r>
      <w:r w:rsidRPr="00B62920">
        <w:t xml:space="preserve"> Views of 26 July 2010, § 9.4, CCPR/C/99/D/1588/2007; HRC,</w:t>
      </w:r>
      <w:r w:rsidRPr="00B62920">
        <w:rPr>
          <w:i/>
        </w:rPr>
        <w:t xml:space="preserve"> Bashasha</w:t>
      </w:r>
      <w:r w:rsidRPr="00B62920">
        <w:rPr>
          <w:i/>
          <w:color w:val="000000"/>
        </w:rPr>
        <w:t xml:space="preserve"> v. Libyan Arab Jamahiriya</w:t>
      </w:r>
      <w:r w:rsidRPr="00B62920">
        <w:rPr>
          <w:color w:val="000000"/>
        </w:rPr>
        <w:t>, Views of 20 October 2010, § 7.2, CCPR/C/100/D/1776/2008).</w:t>
      </w:r>
      <w:bookmarkStart w:id="84" w:name="_Ref354409930"/>
      <w:bookmarkEnd w:id="83"/>
    </w:p>
    <w:p w:rsidR="00657648" w:rsidRPr="00B62920" w:rsidRDefault="00657648" w:rsidP="00657648">
      <w:pPr>
        <w:suppressAutoHyphens/>
        <w:autoSpaceDE w:val="0"/>
        <w:jc w:val="both"/>
      </w:pPr>
    </w:p>
    <w:p w:rsidR="00657648" w:rsidRPr="00B62920" w:rsidRDefault="00657648" w:rsidP="00657648">
      <w:pPr>
        <w:numPr>
          <w:ilvl w:val="0"/>
          <w:numId w:val="2"/>
        </w:numPr>
        <w:suppressAutoHyphens/>
        <w:autoSpaceDE w:val="0"/>
        <w:jc w:val="both"/>
      </w:pPr>
      <w:bookmarkStart w:id="85" w:name="_Ref412035647"/>
      <w:r w:rsidRPr="00B62920">
        <w:t>The Panel understands that the international jurisprudence has developed in a context where the Government in question may be involved in the substantive allegations, which is not the case with UNMIK. The Panel nevertheless considers that since the documentation was under the exclusive control of UNMIK authorities, at least until the handover to EULEX, the principle that “</w:t>
      </w:r>
      <w:r w:rsidRPr="00B62920">
        <w:rPr>
          <w:color w:val="000000"/>
        </w:rPr>
        <w:t>strong</w:t>
      </w:r>
      <w:r w:rsidRPr="00B62920">
        <w:t xml:space="preserve"> inferences” may be drawn from lack of documentation is applicable.</w:t>
      </w:r>
      <w:bookmarkEnd w:id="84"/>
      <w:bookmarkEnd w:id="85"/>
    </w:p>
    <w:p w:rsidR="00657648" w:rsidRPr="00B62920" w:rsidRDefault="00657648" w:rsidP="00657648">
      <w:pPr>
        <w:tabs>
          <w:tab w:val="left" w:pos="709"/>
        </w:tabs>
        <w:suppressAutoHyphens/>
        <w:autoSpaceDE w:val="0"/>
        <w:ind w:left="360"/>
        <w:jc w:val="both"/>
        <w:rPr>
          <w:lang w:val="en-GB"/>
        </w:rPr>
      </w:pPr>
    </w:p>
    <w:p w:rsidR="003E3F85" w:rsidRPr="00B62920" w:rsidRDefault="00657648" w:rsidP="003E3F85">
      <w:pPr>
        <w:numPr>
          <w:ilvl w:val="0"/>
          <w:numId w:val="2"/>
        </w:numPr>
        <w:tabs>
          <w:tab w:val="left" w:pos="709"/>
        </w:tabs>
        <w:suppressAutoHyphens/>
        <w:autoSpaceDE w:val="0"/>
        <w:jc w:val="both"/>
        <w:rPr>
          <w:lang w:val="en-GB"/>
        </w:rPr>
      </w:pPr>
      <w:r w:rsidRPr="00B62920">
        <w:rPr>
          <w:color w:val="000000" w:themeColor="text1"/>
          <w:lang w:val="en-GB"/>
        </w:rPr>
        <w:t>Second, t</w:t>
      </w:r>
      <w:r w:rsidR="00FC30AF" w:rsidRPr="00B62920">
        <w:rPr>
          <w:color w:val="000000" w:themeColor="text1"/>
          <w:lang w:val="en-GB"/>
        </w:rPr>
        <w:t xml:space="preserve">he </w:t>
      </w:r>
      <w:r w:rsidR="00FC30AF" w:rsidRPr="00B62920">
        <w:rPr>
          <w:color w:val="000000" w:themeColor="text1"/>
        </w:rPr>
        <w:t>Panel</w:t>
      </w:r>
      <w:r w:rsidR="00FC30AF" w:rsidRPr="00B62920">
        <w:rPr>
          <w:color w:val="000000" w:themeColor="text1"/>
          <w:lang w:val="en-GB"/>
        </w:rPr>
        <w:t xml:space="preserve"> notes that the positive obligation to investigate disappearances is widely accepted in international human rights law since at least the case of the Inter-American Court of Human Rights </w:t>
      </w:r>
      <w:r w:rsidR="00FC30AF" w:rsidRPr="00B62920">
        <w:rPr>
          <w:i/>
          <w:color w:val="000000" w:themeColor="text1"/>
          <w:lang w:val="en-GB"/>
        </w:rPr>
        <w:t xml:space="preserve">Velásquez-Rodríguez </w:t>
      </w:r>
      <w:r w:rsidR="00FC30AF" w:rsidRPr="00B62920">
        <w:rPr>
          <w:color w:val="000000" w:themeColor="text1"/>
          <w:lang w:val="en-GB"/>
        </w:rPr>
        <w:t xml:space="preserve">(see Inter-American Court of Human Rights (IACtHR), </w:t>
      </w:r>
      <w:r w:rsidR="00FC30AF" w:rsidRPr="00B62920">
        <w:rPr>
          <w:i/>
          <w:color w:val="000000" w:themeColor="text1"/>
          <w:lang w:val="en-GB"/>
        </w:rPr>
        <w:t>Velásquez-Rodríguez v. Honduras</w:t>
      </w:r>
      <w:r w:rsidR="00FC30AF" w:rsidRPr="00B62920">
        <w:rPr>
          <w:color w:val="000000" w:themeColor="text1"/>
          <w:lang w:val="en-GB"/>
        </w:rPr>
        <w:t xml:space="preserve">, judgment of 29 July 1988, Series C No. 4). </w:t>
      </w:r>
      <w:r w:rsidR="00273478" w:rsidRPr="00B62920">
        <w:rPr>
          <w:lang w:val="en-GB"/>
        </w:rPr>
        <w:t>T</w:t>
      </w:r>
      <w:r w:rsidR="003E3F85" w:rsidRPr="00B62920">
        <w:rPr>
          <w:lang w:val="en-GB"/>
        </w:rPr>
        <w:t xml:space="preserve">he Panel </w:t>
      </w:r>
      <w:r w:rsidR="00FC30AF" w:rsidRPr="00B62920">
        <w:rPr>
          <w:lang w:val="en-GB"/>
        </w:rPr>
        <w:t xml:space="preserve">also </w:t>
      </w:r>
      <w:r w:rsidR="003E3F85" w:rsidRPr="00B62920">
        <w:rPr>
          <w:lang w:val="en-GB"/>
        </w:rPr>
        <w:t xml:space="preserve">notes that the positive obligation to investigate has been stated by the </w:t>
      </w:r>
      <w:r w:rsidR="00423598" w:rsidRPr="00B62920">
        <w:rPr>
          <w:lang w:val="en-GB"/>
        </w:rPr>
        <w:t>HRC</w:t>
      </w:r>
      <w:r w:rsidR="003E3F85" w:rsidRPr="00B62920">
        <w:rPr>
          <w:lang w:val="en-GB"/>
        </w:rPr>
        <w:t xml:space="preserve"> as stemming from Article 6 (right to life), Article 7 (prohibition of cruel and inhuman treatment) and Article 9 (right to liberty and security of person), read in conjunction with Articles 2 (3) (right to an effective remedy) of the ICCPR (see United Nations Human Rights </w:t>
      </w:r>
      <w:r w:rsidR="003E3F85" w:rsidRPr="00B62920">
        <w:rPr>
          <w:lang w:val="en-GB"/>
        </w:rPr>
        <w:lastRenderedPageBreak/>
        <w:t xml:space="preserve">Committee (HRC), General Comment No. 6, 30 April 1982, § 4; HRC, General Comment No. 31, 26 May 2004, §§ 8 and 18, CCPR/C/21/Rev.1/Add. 13; see also, among others, HRC, </w:t>
      </w:r>
      <w:r w:rsidR="003E3F85" w:rsidRPr="00B62920">
        <w:rPr>
          <w:i/>
          <w:lang w:val="en-GB"/>
        </w:rPr>
        <w:t>Mohamed El Awani, v. Libyan Arab Jamahiriya</w:t>
      </w:r>
      <w:r w:rsidR="003E3F85" w:rsidRPr="00B62920">
        <w:rPr>
          <w:lang w:val="en-GB"/>
        </w:rPr>
        <w:t>, communication no. 1295/2004, views of 11 July 2007, CCPR/C/90/D/1295/2004). The obligation to investigate disappearances and killings is also asserted in the UN Declaration on the Protection of all Persons from Enforced Disappearances (</w:t>
      </w:r>
      <w:r w:rsidR="003E3F85" w:rsidRPr="00B62920">
        <w:t xml:space="preserve">UN Document </w:t>
      </w:r>
      <w:r w:rsidR="003E3F85" w:rsidRPr="00B62920">
        <w:rPr>
          <w:lang w:val="en-GB"/>
        </w:rPr>
        <w:t>A/Res/47/133, 18 December 1992), and further detailed in UN guidelines such as the UN Manual on the Effective Prevention and Investigation of Extra-Legal Arbitrary and Summary Executions (1991) and the “Guidelines for the Conduct of United Nations Inquiries into Allegations of Massacres” (1995). The importance of the obligation is confirmed by the adoption of the International Convention for the Protection of All Persons from Enforced Disappearance in 2006, which entered into force on 23 December 2010.</w:t>
      </w:r>
      <w:bookmarkEnd w:id="78"/>
      <w:bookmarkEnd w:id="79"/>
      <w:bookmarkEnd w:id="81"/>
      <w:r w:rsidR="003E3F85" w:rsidRPr="00B62920">
        <w:rPr>
          <w:lang w:val="en-GB"/>
        </w:rPr>
        <w:t xml:space="preserve">   </w:t>
      </w:r>
      <w:bookmarkStart w:id="86" w:name="_Ref347561805"/>
    </w:p>
    <w:p w:rsidR="003E3F85" w:rsidRPr="00B62920" w:rsidRDefault="003E3F85" w:rsidP="003E3F85">
      <w:pPr>
        <w:pStyle w:val="ListParagraph"/>
        <w:suppressAutoHyphens w:val="0"/>
        <w:ind w:left="360"/>
        <w:contextualSpacing/>
        <w:jc w:val="both"/>
        <w:rPr>
          <w:lang w:val="en-GB" w:eastAsia="en-US"/>
        </w:rPr>
      </w:pPr>
    </w:p>
    <w:p w:rsidR="003E3F85" w:rsidRPr="00B62920" w:rsidRDefault="003E3F85" w:rsidP="003E3F85">
      <w:pPr>
        <w:numPr>
          <w:ilvl w:val="0"/>
          <w:numId w:val="2"/>
        </w:numPr>
        <w:tabs>
          <w:tab w:val="left" w:pos="709"/>
        </w:tabs>
        <w:suppressAutoHyphens/>
        <w:autoSpaceDE w:val="0"/>
        <w:jc w:val="both"/>
        <w:rPr>
          <w:lang w:val="en-GB"/>
        </w:rPr>
      </w:pPr>
      <w:bookmarkStart w:id="87" w:name="_Ref366239860"/>
      <w:r w:rsidRPr="00B62920">
        <w:rPr>
          <w:lang w:val="en-GB"/>
        </w:rPr>
        <w:t xml:space="preserve">In order to address the complainant’s allegations, the Panel refers to the well-established case-law of the European Court of Human Rights on the procedural obligation under Article 2 of the ECHR. The Court has held that “[The] obligation to protect the right to life under Article 2, read in conjunction with the State's general duty under Article 1 of the Convention to “secure to everyone within [its] jurisdiction the rights and freedoms defined in [the] Convention”, requires by implication that there should be some form of effective official investigation when individuals have been killed (see, </w:t>
      </w:r>
      <w:r w:rsidRPr="00B62920">
        <w:rPr>
          <w:i/>
          <w:lang w:val="en-GB"/>
        </w:rPr>
        <w:t>mutatis mutandis</w:t>
      </w:r>
      <w:r w:rsidRPr="00B62920">
        <w:rPr>
          <w:lang w:val="en-GB"/>
        </w:rPr>
        <w:t xml:space="preserve">, ECtHR, </w:t>
      </w:r>
      <w:r w:rsidRPr="00B62920">
        <w:rPr>
          <w:i/>
          <w:lang w:val="en-GB"/>
        </w:rPr>
        <w:t>McCann and Others v. the United Kingdom</w:t>
      </w:r>
      <w:r w:rsidRPr="00B62920">
        <w:rPr>
          <w:lang w:val="en-GB"/>
        </w:rPr>
        <w:t xml:space="preserve">, judgment of 27 September 1995, § 161, Series A no. 324; and ECtHR, </w:t>
      </w:r>
      <w:r w:rsidRPr="00B62920">
        <w:rPr>
          <w:i/>
          <w:lang w:val="en-GB"/>
        </w:rPr>
        <w:t>Kaya v. Turkey</w:t>
      </w:r>
      <w:r w:rsidRPr="00B62920">
        <w:rPr>
          <w:lang w:val="en-GB"/>
        </w:rPr>
        <w:t xml:space="preserve">, judgment of 19 February 1998, § 86, Reports 1998-I; see also ECtHR, </w:t>
      </w:r>
      <w:r w:rsidRPr="00B62920">
        <w:rPr>
          <w:i/>
          <w:lang w:val="en-GB"/>
        </w:rPr>
        <w:t>Jasinskis v. Latvia</w:t>
      </w:r>
      <w:r w:rsidRPr="00B62920">
        <w:rPr>
          <w:lang w:val="en-GB"/>
        </w:rPr>
        <w:t xml:space="preserve">, no. 45744/08, judgment of 21 December 2010, § 71). The duty to conduct such an investigation arises in all cases of killing and other suspicious death, whether the perpetrators were private persons or State agents or are unknown (see ECtHR, </w:t>
      </w:r>
      <w:r w:rsidRPr="00B62920">
        <w:rPr>
          <w:i/>
          <w:lang w:val="en-GB"/>
        </w:rPr>
        <w:t>Kolevi v. Bulgaria</w:t>
      </w:r>
      <w:r w:rsidRPr="00B62920">
        <w:rPr>
          <w:lang w:val="en-GB"/>
        </w:rPr>
        <w:t>, no. 1108/02, judgment of 5 November 2009, § 191).</w:t>
      </w:r>
      <w:bookmarkEnd w:id="86"/>
      <w:bookmarkEnd w:id="87"/>
    </w:p>
    <w:p w:rsidR="003E3F85" w:rsidRPr="00B62920" w:rsidRDefault="003E3F85" w:rsidP="003E3F85">
      <w:pPr>
        <w:pStyle w:val="ListParagraph"/>
        <w:tabs>
          <w:tab w:val="num" w:pos="567"/>
        </w:tabs>
        <w:suppressAutoHyphens w:val="0"/>
        <w:ind w:left="567" w:hanging="425"/>
        <w:contextualSpacing/>
        <w:jc w:val="both"/>
        <w:rPr>
          <w:lang w:val="en-GB"/>
        </w:rPr>
      </w:pPr>
    </w:p>
    <w:p w:rsidR="003E3F85" w:rsidRPr="00B62920" w:rsidRDefault="003E3F85" w:rsidP="003E3F85">
      <w:pPr>
        <w:numPr>
          <w:ilvl w:val="0"/>
          <w:numId w:val="2"/>
        </w:numPr>
        <w:tabs>
          <w:tab w:val="left" w:pos="709"/>
        </w:tabs>
        <w:suppressAutoHyphens/>
        <w:autoSpaceDE w:val="0"/>
        <w:jc w:val="both"/>
        <w:rPr>
          <w:lang w:val="en-GB"/>
        </w:rPr>
      </w:pPr>
      <w:bookmarkStart w:id="88" w:name="_Ref401245061"/>
      <w:r w:rsidRPr="00B62920">
        <w:rPr>
          <w:lang w:val="en-GB"/>
        </w:rPr>
        <w:t xml:space="preserve">The European Court has also stated that the procedural obligation to provide some form of effective official investigation exists also when an individual has gone missing in life-threatening circumstances and is not confined to cases where it is apparent that the disappearance was caused by an agent of the State (see ECtHR [GC], </w:t>
      </w:r>
      <w:r w:rsidRPr="00B62920">
        <w:rPr>
          <w:i/>
          <w:lang w:val="en-GB"/>
        </w:rPr>
        <w:t>Varnava and Others v. Turkey</w:t>
      </w:r>
      <w:r w:rsidRPr="00B62920">
        <w:rPr>
          <w:lang w:val="en-GB"/>
        </w:rPr>
        <w:t xml:space="preserve">, cited in § </w:t>
      </w:r>
      <w:r w:rsidRPr="00B62920">
        <w:fldChar w:fldCharType="begin"/>
      </w:r>
      <w:r w:rsidRPr="00B62920">
        <w:instrText xml:space="preserve"> REF _Ref346123885 \r \h  \* MERGEFORMAT </w:instrText>
      </w:r>
      <w:r w:rsidRPr="00B62920">
        <w:fldChar w:fldCharType="separate"/>
      </w:r>
      <w:r w:rsidR="00B52E51" w:rsidRPr="00B52E51">
        <w:rPr>
          <w:lang w:val="en-GB"/>
        </w:rPr>
        <w:t>40</w:t>
      </w:r>
      <w:r w:rsidRPr="00B62920">
        <w:fldChar w:fldCharType="end"/>
      </w:r>
      <w:r w:rsidRPr="00B62920">
        <w:rPr>
          <w:lang w:val="en-GB"/>
        </w:rPr>
        <w:t xml:space="preserve"> above, at § 136</w:t>
      </w:r>
      <w:r w:rsidR="00423598" w:rsidRPr="00B62920">
        <w:rPr>
          <w:lang w:val="en-GB"/>
        </w:rPr>
        <w:t>,</w:t>
      </w:r>
      <w:r w:rsidR="00423598" w:rsidRPr="00B62920">
        <w:rPr>
          <w:i/>
          <w:iCs/>
          <w:lang w:val="en-GB"/>
        </w:rPr>
        <w:t xml:space="preserve"> </w:t>
      </w:r>
      <w:r w:rsidR="00423598" w:rsidRPr="00B62920">
        <w:rPr>
          <w:lang w:val="en-GB"/>
        </w:rPr>
        <w:t xml:space="preserve">ECtHR [GC], </w:t>
      </w:r>
      <w:r w:rsidR="00423598" w:rsidRPr="00B62920">
        <w:rPr>
          <w:i/>
          <w:iCs/>
          <w:lang w:val="en-GB"/>
        </w:rPr>
        <w:t>Mocanu and Others v. Romania</w:t>
      </w:r>
      <w:r w:rsidR="00423598" w:rsidRPr="00B62920">
        <w:rPr>
          <w:lang w:val="en-GB"/>
        </w:rPr>
        <w:t>, nos 10865/09, 45886/07 and 32431/08, judgment of 17 September 2014, § 317).</w:t>
      </w:r>
      <w:bookmarkEnd w:id="88"/>
    </w:p>
    <w:p w:rsidR="003E3F85" w:rsidRPr="00B62920" w:rsidRDefault="003E3F85" w:rsidP="003E3F85">
      <w:pPr>
        <w:pStyle w:val="ListParagraph"/>
        <w:tabs>
          <w:tab w:val="num" w:pos="567"/>
        </w:tabs>
        <w:suppressAutoHyphens w:val="0"/>
        <w:ind w:left="567" w:hanging="425"/>
        <w:contextualSpacing/>
        <w:jc w:val="both"/>
        <w:rPr>
          <w:lang w:val="en-GB"/>
        </w:rPr>
      </w:pPr>
    </w:p>
    <w:p w:rsidR="003E3F85" w:rsidRPr="00B62920" w:rsidRDefault="003E3F85" w:rsidP="00423598">
      <w:pPr>
        <w:pStyle w:val="ListParagraph"/>
        <w:numPr>
          <w:ilvl w:val="0"/>
          <w:numId w:val="2"/>
        </w:numPr>
        <w:jc w:val="both"/>
        <w:rPr>
          <w:lang w:val="en-GB" w:eastAsia="en-US"/>
        </w:rPr>
      </w:pPr>
      <w:bookmarkStart w:id="89" w:name="_Ref366240125"/>
      <w:r w:rsidRPr="00B62920">
        <w:rPr>
          <w:lang w:val="en-GB"/>
        </w:rPr>
        <w:t xml:space="preserve">The authorities must act of their own motion once the matter has come to their attention, and they cannot leave it to the initiative of the next-of-kin either to lodge a formal complaint or to take responsibility for the conduct of any investigative procedure (see ECtHR, </w:t>
      </w:r>
      <w:r w:rsidRPr="00B62920">
        <w:rPr>
          <w:i/>
          <w:lang w:val="en-GB"/>
        </w:rPr>
        <w:t>Ahmet Özkan and Others v. Turkey</w:t>
      </w:r>
      <w:r w:rsidRPr="00B62920">
        <w:rPr>
          <w:lang w:val="en-GB"/>
        </w:rPr>
        <w:t xml:space="preserve">, no. 21689/93, judgment of 6 April 2004, § 310, see also ECtHR, </w:t>
      </w:r>
      <w:r w:rsidRPr="00B62920">
        <w:rPr>
          <w:i/>
          <w:lang w:val="en-GB"/>
        </w:rPr>
        <w:t>Isayeva v. Russia</w:t>
      </w:r>
      <w:r w:rsidRPr="00B62920">
        <w:rPr>
          <w:lang w:val="en-GB"/>
        </w:rPr>
        <w:t>, no. 57950/00, judg</w:t>
      </w:r>
      <w:r w:rsidR="00423598" w:rsidRPr="00B62920">
        <w:rPr>
          <w:lang w:val="en-GB"/>
        </w:rPr>
        <w:t>ment of 24 February 2005, § 210,</w:t>
      </w:r>
      <w:r w:rsidR="00423598" w:rsidRPr="00B62920">
        <w:rPr>
          <w:lang w:val="en-GB" w:eastAsia="en-US"/>
        </w:rPr>
        <w:t xml:space="preserve"> ECtHR [GC], </w:t>
      </w:r>
      <w:r w:rsidR="00423598" w:rsidRPr="00B62920">
        <w:rPr>
          <w:i/>
          <w:lang w:val="en-GB" w:eastAsia="en-US"/>
        </w:rPr>
        <w:t>Mocanu and Others v. Romania</w:t>
      </w:r>
      <w:r w:rsidR="00423598" w:rsidRPr="00B62920">
        <w:rPr>
          <w:lang w:val="en-GB" w:eastAsia="en-US"/>
        </w:rPr>
        <w:t>, cited above, § 321).</w:t>
      </w:r>
      <w:bookmarkStart w:id="90" w:name="_Ref346724174"/>
      <w:bookmarkEnd w:id="89"/>
    </w:p>
    <w:p w:rsidR="003E3F85" w:rsidRPr="00B62920" w:rsidRDefault="003E3F85" w:rsidP="003E3F85">
      <w:pPr>
        <w:pStyle w:val="ListParagraph"/>
        <w:tabs>
          <w:tab w:val="num" w:pos="567"/>
        </w:tabs>
        <w:ind w:left="567" w:hanging="425"/>
        <w:rPr>
          <w:lang w:val="en-GB"/>
        </w:rPr>
      </w:pPr>
    </w:p>
    <w:p w:rsidR="003E3F85" w:rsidRPr="00B62920" w:rsidRDefault="003E3F85" w:rsidP="003E3F85">
      <w:pPr>
        <w:numPr>
          <w:ilvl w:val="0"/>
          <w:numId w:val="2"/>
        </w:numPr>
        <w:tabs>
          <w:tab w:val="left" w:pos="709"/>
        </w:tabs>
        <w:suppressAutoHyphens/>
        <w:autoSpaceDE w:val="0"/>
        <w:jc w:val="both"/>
        <w:rPr>
          <w:lang w:val="en-GB"/>
        </w:rPr>
      </w:pPr>
      <w:bookmarkStart w:id="91" w:name="_Ref366239979"/>
      <w:r w:rsidRPr="00B62920">
        <w:rPr>
          <w:lang w:val="en-GB"/>
        </w:rPr>
        <w:t>Setting out the standards of an effective investigat</w:t>
      </w:r>
      <w:r w:rsidR="00CD6EFB" w:rsidRPr="00B62920">
        <w:rPr>
          <w:lang w:val="en-GB"/>
        </w:rPr>
        <w:t xml:space="preserve">ion, the Court has stated that </w:t>
      </w:r>
      <w:r w:rsidRPr="00B62920">
        <w:rPr>
          <w:lang w:val="en-GB"/>
        </w:rPr>
        <w:t xml:space="preserve">besides being independent, accessible to the victim’s family, carried out with reasonable promptness and expedition and affording a sufficient element of public scrutiny of the investigation or its results, the investigation must also be effective in the sense that it is capable of leading to a determination of whether the death was caused unlawfully and if so, to the identification and </w:t>
      </w:r>
      <w:r w:rsidR="00CD6EFB" w:rsidRPr="00B62920">
        <w:rPr>
          <w:lang w:val="en-GB"/>
        </w:rPr>
        <w:lastRenderedPageBreak/>
        <w:t>punishment of those responsible</w:t>
      </w:r>
      <w:r w:rsidRPr="00B62920">
        <w:rPr>
          <w:lang w:val="en-GB"/>
        </w:rPr>
        <w:t xml:space="preserve"> (see ECtHR [GC], </w:t>
      </w:r>
      <w:r w:rsidRPr="00B62920">
        <w:rPr>
          <w:i/>
          <w:lang w:val="en-GB"/>
        </w:rPr>
        <w:t xml:space="preserve">Varnava and Others v. </w:t>
      </w:r>
      <w:r w:rsidRPr="00B62920">
        <w:rPr>
          <w:lang w:val="en-GB"/>
        </w:rPr>
        <w:t xml:space="preserve">Turkey, cited in § </w:t>
      </w:r>
      <w:r w:rsidRPr="00B62920">
        <w:fldChar w:fldCharType="begin"/>
      </w:r>
      <w:r w:rsidRPr="00B62920">
        <w:instrText xml:space="preserve"> REF _Ref346123885 \r \h  \* MERGEFORMAT </w:instrText>
      </w:r>
      <w:r w:rsidRPr="00B62920">
        <w:fldChar w:fldCharType="separate"/>
      </w:r>
      <w:r w:rsidR="00B52E51" w:rsidRPr="00B52E51">
        <w:rPr>
          <w:lang w:val="en-GB"/>
        </w:rPr>
        <w:t>40</w:t>
      </w:r>
      <w:r w:rsidRPr="00B62920">
        <w:fldChar w:fldCharType="end"/>
      </w:r>
      <w:r w:rsidRPr="00B62920">
        <w:rPr>
          <w:lang w:val="en-GB"/>
        </w:rPr>
        <w:t xml:space="preserve"> above, at § 191; see also ECtHR, </w:t>
      </w:r>
      <w:r w:rsidRPr="00B62920">
        <w:rPr>
          <w:i/>
          <w:lang w:val="en-GB"/>
        </w:rPr>
        <w:t>Palić v. Bosnia and Herzegovina</w:t>
      </w:r>
      <w:r w:rsidRPr="00B62920">
        <w:rPr>
          <w:lang w:val="en-GB"/>
        </w:rPr>
        <w:t xml:space="preserve">, no. 4704/04, judgment of 15 February 2011, § 63). This is not an obligation of results but of means. The authorities must take whatever reasonable steps they can to secure the evidence concerning the incident, including, inter alia eye-witness testimony, forensic evidence and, where appropriate, an autopsy which provides a complete and accurate record of injury and an objective analysis of the clinical findings, including the cause of death. Any deficiency in the investigation which undermines its ability to establish the cause of death or the person or persons responsible will risk falling foul of this standard (see ECtHR, </w:t>
      </w:r>
      <w:r w:rsidRPr="00B62920">
        <w:rPr>
          <w:i/>
          <w:lang w:val="en-GB"/>
        </w:rPr>
        <w:t>Ahmet Özkan and Others v. Turkey</w:t>
      </w:r>
      <w:r w:rsidRPr="00B62920">
        <w:rPr>
          <w:lang w:val="en-GB"/>
        </w:rPr>
        <w:t>, cited above, at § 312, and ECtHR,</w:t>
      </w:r>
      <w:r w:rsidRPr="00B62920">
        <w:rPr>
          <w:i/>
          <w:lang w:val="en-GB"/>
        </w:rPr>
        <w:t xml:space="preserve"> Isayeva v. Russia</w:t>
      </w:r>
      <w:r w:rsidRPr="00B62920">
        <w:rPr>
          <w:lang w:val="en-GB"/>
        </w:rPr>
        <w:t>, cited above, at § 212).</w:t>
      </w:r>
      <w:bookmarkEnd w:id="90"/>
      <w:bookmarkEnd w:id="91"/>
      <w:r w:rsidRPr="00B62920">
        <w:rPr>
          <w:lang w:val="en-GB"/>
        </w:rPr>
        <w:t xml:space="preserve"> </w:t>
      </w:r>
    </w:p>
    <w:p w:rsidR="003E3F85" w:rsidRPr="00B62920" w:rsidRDefault="003E3F85" w:rsidP="003E3F85">
      <w:pPr>
        <w:pStyle w:val="ListParagraph"/>
        <w:suppressAutoHyphens w:val="0"/>
        <w:ind w:left="360"/>
        <w:contextualSpacing/>
        <w:jc w:val="both"/>
        <w:rPr>
          <w:lang w:val="en-GB" w:eastAsia="en-US"/>
        </w:rPr>
      </w:pPr>
    </w:p>
    <w:p w:rsidR="00423598" w:rsidRPr="00B62920" w:rsidRDefault="003E3F85" w:rsidP="00423598">
      <w:pPr>
        <w:pStyle w:val="ListParagraph"/>
        <w:numPr>
          <w:ilvl w:val="0"/>
          <w:numId w:val="2"/>
        </w:numPr>
        <w:jc w:val="both"/>
        <w:rPr>
          <w:lang w:val="en-GB" w:eastAsia="en-US"/>
        </w:rPr>
      </w:pPr>
      <w:bookmarkStart w:id="92" w:name="_Ref373832219"/>
      <w:bookmarkStart w:id="93" w:name="_Ref401245516"/>
      <w:r w:rsidRPr="00B62920">
        <w:rPr>
          <w:lang w:val="en-GB"/>
        </w:rPr>
        <w:t xml:space="preserve">In particular, the investigation’s conclusion must be based on thorough, objective and impartial analysis of all relevant elements. Failing to follow an obvious line of enquiry undermines to a decisive extent the ability to establish the circumstances of the case and the identity of those responsible (see ECtHR, </w:t>
      </w:r>
      <w:r w:rsidRPr="00B62920">
        <w:rPr>
          <w:i/>
          <w:lang w:val="en-GB"/>
        </w:rPr>
        <w:t>Kolevi v. Bulgaria</w:t>
      </w:r>
      <w:r w:rsidRPr="00B62920">
        <w:rPr>
          <w:lang w:val="en-GB"/>
        </w:rPr>
        <w:t xml:space="preserve">, cited in § </w:t>
      </w:r>
      <w:r w:rsidRPr="00B62920">
        <w:fldChar w:fldCharType="begin"/>
      </w:r>
      <w:r w:rsidRPr="00B62920">
        <w:instrText xml:space="preserve"> REF _Ref366239860 \r \h  \* MERGEFORMAT </w:instrText>
      </w:r>
      <w:r w:rsidRPr="00B62920">
        <w:fldChar w:fldCharType="separate"/>
      </w:r>
      <w:r w:rsidR="00B52E51" w:rsidRPr="00B52E51">
        <w:rPr>
          <w:lang w:val="en-GB"/>
        </w:rPr>
        <w:t>68</w:t>
      </w:r>
      <w:r w:rsidRPr="00B62920">
        <w:fldChar w:fldCharType="end"/>
      </w:r>
      <w:r w:rsidRPr="00B62920">
        <w:rPr>
          <w:lang w:val="en-GB"/>
        </w:rPr>
        <w:t>, at § 201). Nevertheless, the nature and degree of scrutiny which satisfy the minimum threshold of the investigation’s effectiveness depend on the circumstances of the particular case. They must be assessed on the basis of all relevant facts and with regard to the practical realities of the investigative work</w:t>
      </w:r>
      <w:bookmarkEnd w:id="92"/>
      <w:r w:rsidR="00423598" w:rsidRPr="00B62920">
        <w:rPr>
          <w:lang w:val="en-GB"/>
        </w:rPr>
        <w:t xml:space="preserve"> </w:t>
      </w:r>
      <w:r w:rsidR="00423598" w:rsidRPr="00B62920">
        <w:rPr>
          <w:color w:val="000000"/>
          <w:lang w:val="en-GB"/>
        </w:rPr>
        <w:t xml:space="preserve">(see ECtHR, </w:t>
      </w:r>
      <w:r w:rsidR="00423598" w:rsidRPr="00B62920">
        <w:rPr>
          <w:i/>
          <w:color w:val="000000"/>
          <w:lang w:val="en-GB"/>
        </w:rPr>
        <w:t>Velcea and Maz</w:t>
      </w:r>
      <w:r w:rsidR="00423598" w:rsidRPr="00B62920">
        <w:rPr>
          <w:i/>
          <w:lang w:val="en-GB"/>
        </w:rPr>
        <w:t>ăre v. Romania</w:t>
      </w:r>
      <w:r w:rsidR="00423598" w:rsidRPr="00B62920">
        <w:rPr>
          <w:lang w:val="en-GB"/>
        </w:rPr>
        <w:t xml:space="preserve">, no. 64301/01, judgment of 1 December 2009, § 105). At the same time, </w:t>
      </w:r>
      <w:r w:rsidR="00423598" w:rsidRPr="00B62920">
        <w:rPr>
          <w:rStyle w:val="sb8d990e2"/>
        </w:rPr>
        <w:t>the authorities must always make a serious attempt to find out what happened and should not rely on hasty or ill-founded conclusions to close their investigation</w:t>
      </w:r>
      <w:r w:rsidR="00423598" w:rsidRPr="00B62920">
        <w:rPr>
          <w:rStyle w:val="sb8d990e2"/>
          <w:color w:val="FF0000"/>
        </w:rPr>
        <w:t xml:space="preserve"> </w:t>
      </w:r>
      <w:r w:rsidR="00423598" w:rsidRPr="00B62920">
        <w:rPr>
          <w:lang w:val="en-GB" w:eastAsia="en-US"/>
        </w:rPr>
        <w:t xml:space="preserve">(see ECtHR [GC], </w:t>
      </w:r>
      <w:r w:rsidR="00993514" w:rsidRPr="00B62920">
        <w:rPr>
          <w:i/>
          <w:lang w:val="en-GB" w:eastAsia="en-US"/>
        </w:rPr>
        <w:t>El-Masri v. “t</w:t>
      </w:r>
      <w:r w:rsidR="00713D84" w:rsidRPr="00B62920">
        <w:rPr>
          <w:i/>
          <w:lang w:val="en-GB" w:eastAsia="en-US"/>
        </w:rPr>
        <w:t>he f</w:t>
      </w:r>
      <w:r w:rsidR="00423598" w:rsidRPr="00B62920">
        <w:rPr>
          <w:i/>
          <w:lang w:val="en-GB" w:eastAsia="en-US"/>
        </w:rPr>
        <w:t>ormer Yugoslav Republic of Macedonia”</w:t>
      </w:r>
      <w:r w:rsidR="00423598" w:rsidRPr="00B62920">
        <w:rPr>
          <w:lang w:val="en-GB" w:eastAsia="en-US"/>
        </w:rPr>
        <w:t xml:space="preserve">, no. 39630/09, judgment of 13 December 2012, § 183; ECtHR [GC], </w:t>
      </w:r>
      <w:r w:rsidR="00423598" w:rsidRPr="00B62920">
        <w:rPr>
          <w:i/>
          <w:lang w:val="en-GB" w:eastAsia="en-US"/>
        </w:rPr>
        <w:t>Mocanu and Others v. Romania</w:t>
      </w:r>
      <w:r w:rsidR="00423598" w:rsidRPr="00B62920">
        <w:rPr>
          <w:lang w:val="en-GB" w:eastAsia="en-US"/>
        </w:rPr>
        <w:t xml:space="preserve">, cited in § </w:t>
      </w:r>
      <w:r w:rsidR="00423598" w:rsidRPr="00B62920">
        <w:rPr>
          <w:lang w:val="en-GB" w:eastAsia="en-US"/>
        </w:rPr>
        <w:fldChar w:fldCharType="begin"/>
      </w:r>
      <w:r w:rsidR="00423598" w:rsidRPr="00B62920">
        <w:rPr>
          <w:lang w:val="en-GB" w:eastAsia="en-US"/>
        </w:rPr>
        <w:instrText xml:space="preserve"> REF _Ref401245061 \r \h </w:instrText>
      </w:r>
      <w:r w:rsidR="00393E7A" w:rsidRPr="00B62920">
        <w:rPr>
          <w:lang w:val="en-GB" w:eastAsia="en-US"/>
        </w:rPr>
        <w:instrText xml:space="preserve"> \* MERGEFORMAT </w:instrText>
      </w:r>
      <w:r w:rsidR="00423598" w:rsidRPr="00B62920">
        <w:rPr>
          <w:lang w:val="en-GB" w:eastAsia="en-US"/>
        </w:rPr>
      </w:r>
      <w:r w:rsidR="00423598" w:rsidRPr="00B62920">
        <w:rPr>
          <w:lang w:val="en-GB" w:eastAsia="en-US"/>
        </w:rPr>
        <w:fldChar w:fldCharType="separate"/>
      </w:r>
      <w:r w:rsidR="00B52E51">
        <w:rPr>
          <w:lang w:val="en-GB" w:eastAsia="en-US"/>
        </w:rPr>
        <w:t>69</w:t>
      </w:r>
      <w:r w:rsidR="00423598" w:rsidRPr="00B62920">
        <w:rPr>
          <w:lang w:val="en-GB" w:eastAsia="en-US"/>
        </w:rPr>
        <w:fldChar w:fldCharType="end"/>
      </w:r>
      <w:r w:rsidR="00423598" w:rsidRPr="00B62920">
        <w:rPr>
          <w:lang w:val="en-GB" w:eastAsia="en-US"/>
        </w:rPr>
        <w:t xml:space="preserve"> above, at § 322).</w:t>
      </w:r>
      <w:bookmarkEnd w:id="93"/>
    </w:p>
    <w:p w:rsidR="003E3F85" w:rsidRPr="00B62920" w:rsidRDefault="003E3F85" w:rsidP="00423598">
      <w:pPr>
        <w:tabs>
          <w:tab w:val="left" w:pos="709"/>
        </w:tabs>
        <w:suppressAutoHyphens/>
        <w:autoSpaceDE w:val="0"/>
        <w:ind w:left="360"/>
        <w:jc w:val="both"/>
        <w:rPr>
          <w:lang w:val="en-GB"/>
        </w:rPr>
      </w:pPr>
    </w:p>
    <w:p w:rsidR="003E3F85" w:rsidRPr="00B62920" w:rsidRDefault="003E3F85" w:rsidP="003E3F85">
      <w:pPr>
        <w:numPr>
          <w:ilvl w:val="0"/>
          <w:numId w:val="2"/>
        </w:numPr>
        <w:tabs>
          <w:tab w:val="left" w:pos="709"/>
        </w:tabs>
        <w:suppressAutoHyphens/>
        <w:autoSpaceDE w:val="0"/>
        <w:jc w:val="both"/>
        <w:rPr>
          <w:lang w:val="en-GB"/>
        </w:rPr>
      </w:pPr>
      <w:bookmarkStart w:id="94" w:name="_Ref404684740"/>
      <w:r w:rsidRPr="00B62920">
        <w:rPr>
          <w:rStyle w:val="sb8d990e2"/>
        </w:rPr>
        <w:t xml:space="preserve">A requirement of promptness and reasonable expedition is implicit in this context. Even where there may be obstacles or difficulties which prevent progress in an </w:t>
      </w:r>
      <w:bookmarkStart w:id="95" w:name="HIT98"/>
      <w:bookmarkEnd w:id="95"/>
      <w:r w:rsidRPr="00B62920">
        <w:rPr>
          <w:rStyle w:val="sb8d990e2"/>
        </w:rPr>
        <w:t xml:space="preserve">investigation in a particular situation, a </w:t>
      </w:r>
      <w:bookmarkStart w:id="96" w:name="HIT99"/>
      <w:bookmarkEnd w:id="96"/>
      <w:r w:rsidRPr="00B62920">
        <w:rPr>
          <w:rStyle w:val="sb8d990e2"/>
        </w:rPr>
        <w:t>prompt response by the authorities is vital in maintaining public confidence in their adherence to the rule of law and in preventing any appearance of collusion in or tolerance of unlawful acts (see ECtHR,</w:t>
      </w:r>
      <w:r w:rsidRPr="00B62920">
        <w:rPr>
          <w:rStyle w:val="s6b621b36"/>
        </w:rPr>
        <w:t xml:space="preserve"> </w:t>
      </w:r>
      <w:r w:rsidRPr="00B62920">
        <w:rPr>
          <w:rStyle w:val="s6b621b36"/>
          <w:i/>
        </w:rPr>
        <w:t>Paul and Audrey Edwards</w:t>
      </w:r>
      <w:r w:rsidRPr="00B62920">
        <w:rPr>
          <w:rStyle w:val="sb8d990e2"/>
        </w:rPr>
        <w:t xml:space="preserve"> </w:t>
      </w:r>
      <w:r w:rsidRPr="00B62920">
        <w:rPr>
          <w:i/>
        </w:rPr>
        <w:t>v. the United Kingdom</w:t>
      </w:r>
      <w:r w:rsidRPr="00B62920">
        <w:t xml:space="preserve">, no. 46477/99, judgment of 14 March 2002, § 72, </w:t>
      </w:r>
      <w:r w:rsidR="00423598" w:rsidRPr="00B62920">
        <w:t xml:space="preserve">ECtHR [GC], </w:t>
      </w:r>
      <w:r w:rsidR="00423598" w:rsidRPr="00B62920">
        <w:rPr>
          <w:i/>
        </w:rPr>
        <w:t>Mocanu and Others v. Romania</w:t>
      </w:r>
      <w:r w:rsidR="00423598" w:rsidRPr="00B62920">
        <w:t xml:space="preserve">, cited in § </w:t>
      </w:r>
      <w:r w:rsidR="00423598" w:rsidRPr="00B62920">
        <w:fldChar w:fldCharType="begin"/>
      </w:r>
      <w:r w:rsidR="00423598" w:rsidRPr="00B62920">
        <w:instrText xml:space="preserve"> REF _Ref401245061 \r \h </w:instrText>
      </w:r>
      <w:r w:rsidR="00393E7A" w:rsidRPr="00B62920">
        <w:instrText xml:space="preserve"> \* MERGEFORMAT </w:instrText>
      </w:r>
      <w:r w:rsidR="00423598" w:rsidRPr="00B62920">
        <w:fldChar w:fldCharType="separate"/>
      </w:r>
      <w:r w:rsidR="00B52E51">
        <w:t>69</w:t>
      </w:r>
      <w:r w:rsidR="00423598" w:rsidRPr="00B62920">
        <w:fldChar w:fldCharType="end"/>
      </w:r>
      <w:r w:rsidR="00423598" w:rsidRPr="00B62920">
        <w:t xml:space="preserve"> above, at § 323</w:t>
      </w:r>
      <w:r w:rsidRPr="00B62920">
        <w:t>).</w:t>
      </w:r>
      <w:bookmarkEnd w:id="94"/>
    </w:p>
    <w:p w:rsidR="003E3F85" w:rsidRPr="00B62920" w:rsidRDefault="003E3F85" w:rsidP="003E3F85">
      <w:pPr>
        <w:tabs>
          <w:tab w:val="num" w:pos="567"/>
        </w:tabs>
        <w:ind w:left="567" w:hanging="425"/>
        <w:contextualSpacing/>
        <w:jc w:val="both"/>
        <w:rPr>
          <w:lang w:val="en-GB"/>
        </w:rPr>
      </w:pPr>
    </w:p>
    <w:p w:rsidR="003E3F85" w:rsidRPr="00B62920" w:rsidRDefault="003E3F85" w:rsidP="003E3F85">
      <w:pPr>
        <w:numPr>
          <w:ilvl w:val="0"/>
          <w:numId w:val="2"/>
        </w:numPr>
        <w:tabs>
          <w:tab w:val="left" w:pos="709"/>
        </w:tabs>
        <w:suppressAutoHyphens/>
        <w:autoSpaceDE w:val="0"/>
        <w:jc w:val="both"/>
        <w:rPr>
          <w:lang w:val="en-GB"/>
        </w:rPr>
      </w:pPr>
      <w:bookmarkStart w:id="97" w:name="_Ref373950745"/>
      <w:r w:rsidRPr="00B62920">
        <w:rPr>
          <w:lang w:val="en-GB"/>
        </w:rPr>
        <w:t>Specifically with regard to persons disappeared and later found dead,</w:t>
      </w:r>
      <w:r w:rsidR="00DB4BC9" w:rsidRPr="00B62920">
        <w:rPr>
          <w:lang w:val="en-GB"/>
        </w:rPr>
        <w:t xml:space="preserve"> which is not the situation in the present </w:t>
      </w:r>
      <w:proofErr w:type="gramStart"/>
      <w:r w:rsidR="00DB4BC9" w:rsidRPr="00B62920">
        <w:rPr>
          <w:lang w:val="en-GB"/>
        </w:rPr>
        <w:t>case,</w:t>
      </w:r>
      <w:proofErr w:type="gramEnd"/>
      <w:r w:rsidRPr="00B62920">
        <w:rPr>
          <w:lang w:val="en-GB"/>
        </w:rPr>
        <w:t xml:space="preserve"> the Court has stated that the procedures of exhuming and identifying mortal remains do not exhaust the obligation under Article 2 of the ECHR. The Court holds that “the procedural obligation arising from a disappearance will generally remain as long as the whereabouts and fate of the person are unaccounted for, and it is thus of a continuing nature” (ECtHR, </w:t>
      </w:r>
      <w:r w:rsidRPr="00B62920">
        <w:rPr>
          <w:i/>
          <w:lang w:val="en-GB"/>
        </w:rPr>
        <w:t>Palić v. Bosnia and Herzegovina</w:t>
      </w:r>
      <w:r w:rsidRPr="00B62920">
        <w:rPr>
          <w:lang w:val="en-GB"/>
        </w:rPr>
        <w:t xml:space="preserve">, cited in § </w:t>
      </w:r>
      <w:r w:rsidRPr="00B62920">
        <w:fldChar w:fldCharType="begin"/>
      </w:r>
      <w:r w:rsidRPr="00B62920">
        <w:instrText xml:space="preserve"> REF _Ref366239979 \r \h  \* MERGEFORMAT </w:instrText>
      </w:r>
      <w:r w:rsidRPr="00B62920">
        <w:fldChar w:fldCharType="separate"/>
      </w:r>
      <w:r w:rsidR="00B52E51" w:rsidRPr="00B52E51">
        <w:rPr>
          <w:lang w:val="en-GB"/>
        </w:rPr>
        <w:t>71</w:t>
      </w:r>
      <w:r w:rsidRPr="00B62920">
        <w:fldChar w:fldCharType="end"/>
      </w:r>
      <w:r w:rsidRPr="00B62920">
        <w:rPr>
          <w:lang w:val="en-GB"/>
        </w:rPr>
        <w:t xml:space="preserve"> above, § 46; in the same sense ECtHR [GC], </w:t>
      </w:r>
      <w:r w:rsidRPr="00B62920">
        <w:rPr>
          <w:i/>
          <w:lang w:val="en-GB"/>
        </w:rPr>
        <w:t>Varnava and Others v. Turkey</w:t>
      </w:r>
      <w:r w:rsidRPr="00B62920">
        <w:rPr>
          <w:lang w:val="en-GB"/>
        </w:rPr>
        <w:t xml:space="preserve">, cited in § </w:t>
      </w:r>
      <w:r w:rsidRPr="00B62920">
        <w:fldChar w:fldCharType="begin"/>
      </w:r>
      <w:r w:rsidRPr="00B62920">
        <w:instrText xml:space="preserve"> REF _Ref346123885 \r \h  \* MERGEFORMAT </w:instrText>
      </w:r>
      <w:r w:rsidRPr="00B62920">
        <w:fldChar w:fldCharType="separate"/>
      </w:r>
      <w:r w:rsidR="00B52E51" w:rsidRPr="00B52E51">
        <w:rPr>
          <w:lang w:val="en-GB"/>
        </w:rPr>
        <w:t>40</w:t>
      </w:r>
      <w:r w:rsidRPr="00B62920">
        <w:fldChar w:fldCharType="end"/>
      </w:r>
      <w:r w:rsidRPr="00B62920">
        <w:rPr>
          <w:lang w:val="en-GB"/>
        </w:rPr>
        <w:t xml:space="preserve"> above, § 148, </w:t>
      </w:r>
      <w:r w:rsidRPr="00B62920">
        <w:rPr>
          <w:i/>
          <w:lang w:val="en-GB"/>
        </w:rPr>
        <w:t>Aslakhanova and Others v. Russia</w:t>
      </w:r>
      <w:r w:rsidRPr="00B62920">
        <w:rPr>
          <w:lang w:val="en-GB"/>
        </w:rPr>
        <w:t xml:space="preserve">, nos. 2944/06 and others, judgment of 18 December 2012, § 122). However, the Court also stresses that this procedural obligation “does not come to an end even on discovery of the body .... This only casts light on one aspect of the fate of the missing person and the obligation to account for the </w:t>
      </w:r>
      <w:r w:rsidR="00FC30AF" w:rsidRPr="00B62920">
        <w:rPr>
          <w:lang w:val="en-GB"/>
        </w:rPr>
        <w:t>disappearance and probable killing</w:t>
      </w:r>
      <w:r w:rsidRPr="00B62920">
        <w:rPr>
          <w:lang w:val="en-GB"/>
        </w:rPr>
        <w:t xml:space="preserve">, as well as to identify and prosecute any perpetrator of unlawful acts in that connection, will generally remain” (ECtHR, </w:t>
      </w:r>
      <w:r w:rsidRPr="00B62920">
        <w:rPr>
          <w:i/>
          <w:lang w:val="en-GB"/>
        </w:rPr>
        <w:t>Palić v. Bosnia and Herzegovina</w:t>
      </w:r>
      <w:r w:rsidRPr="00B62920">
        <w:rPr>
          <w:lang w:val="en-GB"/>
        </w:rPr>
        <w:t xml:space="preserve">, cited above, § 46; in the same </w:t>
      </w:r>
      <w:r w:rsidRPr="00B62920">
        <w:rPr>
          <w:lang w:val="en-GB"/>
        </w:rPr>
        <w:lastRenderedPageBreak/>
        <w:t xml:space="preserve">sense ECtHR [GC], </w:t>
      </w:r>
      <w:r w:rsidRPr="00B62920">
        <w:rPr>
          <w:i/>
          <w:lang w:val="en-GB"/>
        </w:rPr>
        <w:t>Varnava and Others v. Turkey</w:t>
      </w:r>
      <w:r w:rsidRPr="00B62920">
        <w:rPr>
          <w:lang w:val="en-GB"/>
        </w:rPr>
        <w:t xml:space="preserve">, cited above, § 145). While the location and the subsequent identification of the mortal remains of the victim may in themselves be significant achievements, the procedural obligation under Article 2 continues to exist (see ECtHR, </w:t>
      </w:r>
      <w:r w:rsidRPr="00B62920">
        <w:rPr>
          <w:i/>
          <w:lang w:val="en-GB"/>
        </w:rPr>
        <w:t>Palić v. Bosnia and Herzegovina</w:t>
      </w:r>
      <w:r w:rsidRPr="00B62920">
        <w:rPr>
          <w:lang w:val="en-GB"/>
        </w:rPr>
        <w:t>, cited above, § 64).</w:t>
      </w:r>
      <w:bookmarkStart w:id="98" w:name="_Ref347937166"/>
      <w:bookmarkEnd w:id="97"/>
    </w:p>
    <w:p w:rsidR="003E3F85" w:rsidRPr="00B62920" w:rsidRDefault="003E3F85" w:rsidP="003E3F85">
      <w:pPr>
        <w:pStyle w:val="ListParagraph"/>
        <w:suppressAutoHyphens w:val="0"/>
        <w:ind w:left="360"/>
        <w:contextualSpacing/>
        <w:jc w:val="both"/>
        <w:rPr>
          <w:lang w:val="en-GB" w:eastAsia="en-US"/>
        </w:rPr>
      </w:pPr>
    </w:p>
    <w:p w:rsidR="002437E9" w:rsidRPr="00B62920" w:rsidRDefault="003E3F85" w:rsidP="002437E9">
      <w:pPr>
        <w:numPr>
          <w:ilvl w:val="0"/>
          <w:numId w:val="2"/>
        </w:numPr>
        <w:tabs>
          <w:tab w:val="left" w:pos="709"/>
        </w:tabs>
        <w:suppressAutoHyphens/>
        <w:autoSpaceDE w:val="0"/>
        <w:jc w:val="both"/>
        <w:rPr>
          <w:lang w:val="en-GB"/>
        </w:rPr>
      </w:pPr>
      <w:bookmarkStart w:id="99" w:name="_Ref366240205"/>
      <w:r w:rsidRPr="00B62920">
        <w:rPr>
          <w:lang w:val="en-GB"/>
        </w:rPr>
        <w:t xml:space="preserve">On the requirement of public scrutiny, the Court has further stated that there must be a sufficient element of public scrutiny of the investigation or its results to secure accountability in practice as well as in theory. The degree of public scrutiny required may well vary from case to case. In all cases, however, the victim's next-of-kin must be involved in the procedure to the extent necessary to safeguard his or her legitimate interests (see </w:t>
      </w:r>
      <w:r w:rsidR="00566413" w:rsidRPr="00B62920">
        <w:rPr>
          <w:lang w:val="en-GB"/>
        </w:rPr>
        <w:t xml:space="preserve">ECtHR, </w:t>
      </w:r>
      <w:r w:rsidRPr="00B62920">
        <w:rPr>
          <w:i/>
          <w:lang w:val="en-GB"/>
        </w:rPr>
        <w:t>Ahmet Özkan and Others v. Turkey</w:t>
      </w:r>
      <w:r w:rsidRPr="00B62920">
        <w:rPr>
          <w:lang w:val="en-GB"/>
        </w:rPr>
        <w:t xml:space="preserve">, cited in § </w:t>
      </w:r>
      <w:r w:rsidRPr="00B62920">
        <w:fldChar w:fldCharType="begin"/>
      </w:r>
      <w:r w:rsidRPr="00B62920">
        <w:instrText xml:space="preserve"> REF _Ref366240125 \r \h  \* MERGEFORMAT </w:instrText>
      </w:r>
      <w:r w:rsidRPr="00B62920">
        <w:fldChar w:fldCharType="separate"/>
      </w:r>
      <w:r w:rsidR="00B52E51" w:rsidRPr="00B52E51">
        <w:rPr>
          <w:lang w:val="en-GB"/>
        </w:rPr>
        <w:t>70</w:t>
      </w:r>
      <w:r w:rsidRPr="00B62920">
        <w:fldChar w:fldCharType="end"/>
      </w:r>
      <w:r w:rsidRPr="00B62920">
        <w:rPr>
          <w:lang w:val="en-GB"/>
        </w:rPr>
        <w:t xml:space="preserve"> above, at §§ 311</w:t>
      </w:r>
      <w:r w:rsidRPr="00B62920">
        <w:rPr>
          <w:lang w:val="en-GB"/>
        </w:rPr>
        <w:noBreakHyphen/>
        <w:t xml:space="preserve">314; </w:t>
      </w:r>
      <w:r w:rsidR="00566413" w:rsidRPr="00B62920">
        <w:rPr>
          <w:lang w:val="en-GB"/>
        </w:rPr>
        <w:t xml:space="preserve">ECtHR, </w:t>
      </w:r>
      <w:r w:rsidRPr="00B62920">
        <w:rPr>
          <w:i/>
          <w:lang w:val="en-GB"/>
        </w:rPr>
        <w:t>Isayeva v. Russia</w:t>
      </w:r>
      <w:r w:rsidRPr="00B62920">
        <w:rPr>
          <w:lang w:val="en-GB"/>
        </w:rPr>
        <w:t xml:space="preserve">, cited in § </w:t>
      </w:r>
      <w:r w:rsidRPr="00B62920">
        <w:fldChar w:fldCharType="begin"/>
      </w:r>
      <w:r w:rsidRPr="00B62920">
        <w:instrText xml:space="preserve"> REF _Ref366240125 \r \h  \* MERGEFORMAT </w:instrText>
      </w:r>
      <w:r w:rsidRPr="00B62920">
        <w:fldChar w:fldCharType="separate"/>
      </w:r>
      <w:r w:rsidR="00B52E51" w:rsidRPr="00B52E51">
        <w:rPr>
          <w:lang w:val="en-GB"/>
        </w:rPr>
        <w:t>70</w:t>
      </w:r>
      <w:r w:rsidRPr="00B62920">
        <w:fldChar w:fldCharType="end"/>
      </w:r>
      <w:r w:rsidRPr="00B62920">
        <w:rPr>
          <w:lang w:val="en-GB"/>
        </w:rPr>
        <w:t xml:space="preserve"> above, §§ 211-214 and the cases cited therein</w:t>
      </w:r>
      <w:r w:rsidR="00566413" w:rsidRPr="00B62920">
        <w:rPr>
          <w:lang w:val="en-GB"/>
        </w:rPr>
        <w:t>;</w:t>
      </w:r>
      <w:r w:rsidRPr="00B62920">
        <w:rPr>
          <w:lang w:val="en-GB"/>
        </w:rPr>
        <w:t xml:space="preserve"> ECtHR [GC], </w:t>
      </w:r>
      <w:r w:rsidRPr="00B62920">
        <w:rPr>
          <w:i/>
          <w:lang w:val="en-GB"/>
        </w:rPr>
        <w:t>Al-Skeini and Others v. United Kingdom</w:t>
      </w:r>
      <w:r w:rsidRPr="00B62920">
        <w:rPr>
          <w:lang w:val="en-GB"/>
        </w:rPr>
        <w:t>, no. 55721/07, judgment of 7 July 2011, § 167, ECHR 2011</w:t>
      </w:r>
      <w:r w:rsidR="00423598" w:rsidRPr="00B62920">
        <w:rPr>
          <w:lang w:val="en-GB"/>
        </w:rPr>
        <w:t xml:space="preserve">, ECtHR [GC], </w:t>
      </w:r>
      <w:r w:rsidR="00423598" w:rsidRPr="00B62920">
        <w:rPr>
          <w:i/>
          <w:lang w:val="en-GB"/>
        </w:rPr>
        <w:t>Mocanu and Others v. Romania</w:t>
      </w:r>
      <w:r w:rsidR="00423598" w:rsidRPr="00B62920">
        <w:rPr>
          <w:lang w:val="en-GB"/>
        </w:rPr>
        <w:t xml:space="preserve">, cited in § </w:t>
      </w:r>
      <w:r w:rsidR="00423598" w:rsidRPr="00B62920">
        <w:rPr>
          <w:lang w:val="en-GB"/>
        </w:rPr>
        <w:fldChar w:fldCharType="begin"/>
      </w:r>
      <w:r w:rsidR="00423598" w:rsidRPr="00B62920">
        <w:rPr>
          <w:lang w:val="en-GB"/>
        </w:rPr>
        <w:instrText xml:space="preserve"> REF _Ref401245061 \r \h  \* MERGEFORMAT </w:instrText>
      </w:r>
      <w:r w:rsidR="00423598" w:rsidRPr="00B62920">
        <w:rPr>
          <w:lang w:val="en-GB"/>
        </w:rPr>
      </w:r>
      <w:r w:rsidR="00423598" w:rsidRPr="00B62920">
        <w:rPr>
          <w:lang w:val="en-GB"/>
        </w:rPr>
        <w:fldChar w:fldCharType="separate"/>
      </w:r>
      <w:r w:rsidR="00B52E51">
        <w:rPr>
          <w:lang w:val="en-GB"/>
        </w:rPr>
        <w:t>69</w:t>
      </w:r>
      <w:r w:rsidR="00423598" w:rsidRPr="00B62920">
        <w:rPr>
          <w:lang w:val="en-GB"/>
        </w:rPr>
        <w:fldChar w:fldCharType="end"/>
      </w:r>
      <w:r w:rsidR="00423598" w:rsidRPr="00B62920">
        <w:rPr>
          <w:lang w:val="en-GB"/>
        </w:rPr>
        <w:t xml:space="preserve"> above, at § 324</w:t>
      </w:r>
      <w:r w:rsidRPr="00B62920">
        <w:rPr>
          <w:lang w:val="en-GB"/>
        </w:rPr>
        <w:t>).</w:t>
      </w:r>
      <w:bookmarkEnd w:id="98"/>
      <w:bookmarkEnd w:id="99"/>
    </w:p>
    <w:p w:rsidR="002437E9" w:rsidRPr="00B62920" w:rsidRDefault="002437E9" w:rsidP="002437E9">
      <w:pPr>
        <w:pStyle w:val="ListParagraph"/>
        <w:rPr>
          <w:lang w:val="en-GB"/>
        </w:rPr>
      </w:pPr>
    </w:p>
    <w:p w:rsidR="003E3F85" w:rsidRPr="00B62920" w:rsidRDefault="002437E9" w:rsidP="002437E9">
      <w:pPr>
        <w:numPr>
          <w:ilvl w:val="0"/>
          <w:numId w:val="2"/>
        </w:numPr>
        <w:tabs>
          <w:tab w:val="left" w:pos="709"/>
        </w:tabs>
        <w:suppressAutoHyphens/>
        <w:autoSpaceDE w:val="0"/>
        <w:jc w:val="both"/>
        <w:rPr>
          <w:lang w:val="en-GB"/>
        </w:rPr>
      </w:pPr>
      <w:r w:rsidRPr="00B62920">
        <w:rPr>
          <w:lang w:val="en-GB"/>
        </w:rPr>
        <w:t>The Court has also underlined the great importance of an effective investigation in establishing the truth of what transpired thereby satisfying the right to truth not only for the families of victims, but also for other victims of similar crimes, as well as the general public, who have the right to know what occurred (</w:t>
      </w:r>
      <w:r w:rsidR="00423598" w:rsidRPr="00B62920">
        <w:rPr>
          <w:lang w:val="en-GB"/>
        </w:rPr>
        <w:t xml:space="preserve">ECtHR, </w:t>
      </w:r>
      <w:r w:rsidR="00993514" w:rsidRPr="00B62920">
        <w:rPr>
          <w:i/>
          <w:iCs/>
          <w:lang w:val="en-GB"/>
        </w:rPr>
        <w:t>El-Masri v. “t</w:t>
      </w:r>
      <w:r w:rsidR="00713D84" w:rsidRPr="00B62920">
        <w:rPr>
          <w:i/>
          <w:iCs/>
          <w:lang w:val="en-GB"/>
        </w:rPr>
        <w:t>he f</w:t>
      </w:r>
      <w:r w:rsidR="00423598" w:rsidRPr="00B62920">
        <w:rPr>
          <w:i/>
          <w:iCs/>
          <w:lang w:val="en-GB"/>
        </w:rPr>
        <w:t>ormer Yugoslav Republic of Macedonia”</w:t>
      </w:r>
      <w:r w:rsidR="00423598" w:rsidRPr="00B62920">
        <w:rPr>
          <w:lang w:val="en-GB"/>
        </w:rPr>
        <w:t xml:space="preserve">, cited in § </w:t>
      </w:r>
      <w:r w:rsidR="00423598" w:rsidRPr="00B62920">
        <w:rPr>
          <w:lang w:val="en-GB"/>
        </w:rPr>
        <w:fldChar w:fldCharType="begin"/>
      </w:r>
      <w:r w:rsidR="00423598" w:rsidRPr="00B62920">
        <w:rPr>
          <w:lang w:val="en-GB"/>
        </w:rPr>
        <w:instrText xml:space="preserve"> REF _Ref401245516 \r \h  \* MERGEFORMAT </w:instrText>
      </w:r>
      <w:r w:rsidR="00423598" w:rsidRPr="00B62920">
        <w:rPr>
          <w:lang w:val="en-GB"/>
        </w:rPr>
      </w:r>
      <w:r w:rsidR="00423598" w:rsidRPr="00B62920">
        <w:rPr>
          <w:lang w:val="en-GB"/>
        </w:rPr>
        <w:fldChar w:fldCharType="separate"/>
      </w:r>
      <w:r w:rsidR="00B52E51">
        <w:rPr>
          <w:lang w:val="en-GB"/>
        </w:rPr>
        <w:t>72</w:t>
      </w:r>
      <w:r w:rsidR="00423598" w:rsidRPr="00B62920">
        <w:rPr>
          <w:lang w:val="en-GB"/>
        </w:rPr>
        <w:fldChar w:fldCharType="end"/>
      </w:r>
      <w:r w:rsidR="00423598" w:rsidRPr="00B62920">
        <w:rPr>
          <w:lang w:val="en-GB"/>
        </w:rPr>
        <w:t xml:space="preserve"> above, § 191</w:t>
      </w:r>
      <w:r w:rsidRPr="00B62920">
        <w:rPr>
          <w:lang w:val="en-GB"/>
        </w:rPr>
        <w:t xml:space="preserve">; ECtHR, </w:t>
      </w:r>
      <w:r w:rsidRPr="00B62920">
        <w:rPr>
          <w:i/>
          <w:iCs/>
          <w:lang w:val="en-GB"/>
        </w:rPr>
        <w:t>Al Nashiri v. Poland</w:t>
      </w:r>
      <w:r w:rsidRPr="00B62920">
        <w:rPr>
          <w:lang w:val="en-GB"/>
        </w:rPr>
        <w:t xml:space="preserve">, no. 28761/11, judgment of 24 July 2014, §§ 495-496). </w:t>
      </w:r>
      <w:r w:rsidRPr="00B62920">
        <w:t>United Nations bodies also recognise the importance of the right to truth. In the words of the United Nations Secretary-General, “the right to truth implies knowing the full and complete truth about the violations and the events that transpired, their specific circumstances and who participated in them. In the case of missing persons … it also implies the right to know the fate and whereabouts of the victim” (see Report of the UN Secretary-General, Missing Persons, UN Document A/67/267, 8 August 2012, § 5;</w:t>
      </w:r>
      <w:r w:rsidR="008655B9" w:rsidRPr="00B62920">
        <w:t xml:space="preserve"> see also HRC,  </w:t>
      </w:r>
      <w:r w:rsidRPr="00B62920">
        <w:rPr>
          <w:i/>
          <w:iCs/>
        </w:rPr>
        <w:t>Schedko and Bondarenko v. Belarus</w:t>
      </w:r>
      <w:r w:rsidRPr="00B62920">
        <w:t xml:space="preserve">, Communication no. 886/1999, views of 3 April 2003, § 10.2, CCPR/C/77/D/886/1999; HRC, </w:t>
      </w:r>
      <w:r w:rsidRPr="00B62920">
        <w:rPr>
          <w:i/>
          <w:iCs/>
        </w:rPr>
        <w:t>Mariam, Philippe, Auguste and Thomas Sankara v. Burkina Faso</w:t>
      </w:r>
      <w:r w:rsidRPr="00B62920">
        <w:t>, Communication no. 1159/2003, views of 8 March 2006</w:t>
      </w:r>
      <w:r w:rsidRPr="00B62920">
        <w:rPr>
          <w:color w:val="000000"/>
          <w:sz w:val="27"/>
          <w:szCs w:val="27"/>
          <w:shd w:val="clear" w:color="auto" w:fill="FFFFFF"/>
        </w:rPr>
        <w:t xml:space="preserve">, </w:t>
      </w:r>
      <w:r w:rsidRPr="00B62920">
        <w:t xml:space="preserve">§ 10.2, CCPR/C/86/D/1159/2003; UN Human Rights Council, Resolutions 9/11 and 12/12: Right to the </w:t>
      </w:r>
      <w:r w:rsidRPr="00B62920">
        <w:rPr>
          <w:lang w:val="en-GB"/>
        </w:rPr>
        <w:t>Truth</w:t>
      </w:r>
      <w:r w:rsidRPr="00B62920">
        <w:t xml:space="preserve">, 24 September 2008 and 12 October 2009; Preamble and Article 24 (2) of the Convention for the Protection of All People from Enforced Disappearance, cited in § 106 above; see also Report of the Special Rapporteur on the promotion and protection of human rights and fundamental freedoms while countering terrorism, Mr Ben Emmerson, </w:t>
      </w:r>
      <w:r w:rsidRPr="00B62920">
        <w:rPr>
          <w:i/>
          <w:iCs/>
        </w:rPr>
        <w:t>Framework Principles for securing the accountability of public officials for gross and systematic human rights violations committed in the context of State counter-terrorist initiatives</w:t>
      </w:r>
      <w:r w:rsidRPr="00B62920">
        <w:t>, UN Document A/HRC/22/52, 1 March 2013, § 23-26).</w:t>
      </w:r>
    </w:p>
    <w:p w:rsidR="002C60F4" w:rsidRPr="00B62920" w:rsidRDefault="002C60F4" w:rsidP="002437E9">
      <w:pPr>
        <w:tabs>
          <w:tab w:val="left" w:pos="709"/>
        </w:tabs>
        <w:suppressAutoHyphens/>
        <w:autoSpaceDE w:val="0"/>
        <w:ind w:left="360"/>
        <w:jc w:val="both"/>
        <w:rPr>
          <w:lang w:val="en-GB"/>
        </w:rPr>
      </w:pPr>
    </w:p>
    <w:p w:rsidR="003E3F85" w:rsidRPr="00B62920" w:rsidRDefault="003E3F85" w:rsidP="003E3F85">
      <w:pPr>
        <w:pStyle w:val="ListParagraph"/>
        <w:numPr>
          <w:ilvl w:val="0"/>
          <w:numId w:val="7"/>
        </w:numPr>
        <w:contextualSpacing/>
        <w:jc w:val="both"/>
        <w:rPr>
          <w:i/>
          <w:lang w:val="en-GB" w:eastAsia="en-US"/>
        </w:rPr>
      </w:pPr>
      <w:r w:rsidRPr="00B62920">
        <w:rPr>
          <w:i/>
          <w:lang w:val="en-GB"/>
        </w:rPr>
        <w:t>Applicability</w:t>
      </w:r>
      <w:r w:rsidRPr="00B62920">
        <w:rPr>
          <w:i/>
          <w:lang w:val="en-GB" w:eastAsia="en-US"/>
        </w:rPr>
        <w:t xml:space="preserve"> of Article 2 to the Kosovo context</w:t>
      </w:r>
    </w:p>
    <w:p w:rsidR="003E3F85" w:rsidRPr="00B62920" w:rsidRDefault="003E3F85" w:rsidP="003E3F85">
      <w:pPr>
        <w:pStyle w:val="ListParagraph"/>
        <w:tabs>
          <w:tab w:val="num" w:pos="567"/>
        </w:tabs>
        <w:ind w:left="567" w:hanging="425"/>
        <w:rPr>
          <w:lang w:val="en-GB" w:eastAsia="en-US"/>
        </w:rPr>
      </w:pPr>
    </w:p>
    <w:p w:rsidR="003E3F85" w:rsidRPr="00B62920" w:rsidRDefault="003E3F85" w:rsidP="003E3F85">
      <w:pPr>
        <w:numPr>
          <w:ilvl w:val="0"/>
          <w:numId w:val="2"/>
        </w:numPr>
        <w:tabs>
          <w:tab w:val="left" w:pos="709"/>
        </w:tabs>
        <w:suppressAutoHyphens/>
        <w:autoSpaceDE w:val="0"/>
        <w:jc w:val="both"/>
        <w:rPr>
          <w:lang w:val="en-GB"/>
        </w:rPr>
      </w:pPr>
      <w:bookmarkStart w:id="100" w:name="_Ref366163783"/>
      <w:r w:rsidRPr="00B62920">
        <w:rPr>
          <w:lang w:val="en-GB"/>
        </w:rPr>
        <w:t xml:space="preserve">The Panel is conscious that </w:t>
      </w:r>
      <w:r w:rsidR="00EC2030" w:rsidRPr="00B62920">
        <w:t xml:space="preserve">Mr Duško </w:t>
      </w:r>
      <w:r w:rsidR="00EC2030" w:rsidRPr="00B62920">
        <w:rPr>
          <w:lang w:val="en-GB"/>
        </w:rPr>
        <w:t xml:space="preserve">Karanović </w:t>
      </w:r>
      <w:r w:rsidR="00AD7F08" w:rsidRPr="00B62920">
        <w:rPr>
          <w:lang w:val="en-GB"/>
        </w:rPr>
        <w:t xml:space="preserve">disappeared </w:t>
      </w:r>
      <w:r w:rsidR="00E92DED" w:rsidRPr="00B62920">
        <w:rPr>
          <w:lang w:val="en-GB"/>
        </w:rPr>
        <w:t>shortly after</w:t>
      </w:r>
      <w:r w:rsidR="003A658C" w:rsidRPr="00B62920">
        <w:rPr>
          <w:lang w:val="en-GB"/>
        </w:rPr>
        <w:t xml:space="preserve"> </w:t>
      </w:r>
      <w:r w:rsidRPr="00B62920">
        <w:rPr>
          <w:lang w:val="en-GB"/>
        </w:rPr>
        <w:t>the deployment of UNMIK in Kosovo, when crime, violence and insecurity were rife.</w:t>
      </w:r>
      <w:bookmarkEnd w:id="100"/>
    </w:p>
    <w:p w:rsidR="003E3F85" w:rsidRPr="00B62920" w:rsidRDefault="003E3F85" w:rsidP="003E3F85">
      <w:pPr>
        <w:pStyle w:val="ListParagraph"/>
        <w:ind w:left="567"/>
        <w:contextualSpacing/>
        <w:jc w:val="both"/>
        <w:rPr>
          <w:lang w:val="en-GB" w:eastAsia="en-US"/>
        </w:rPr>
      </w:pPr>
    </w:p>
    <w:p w:rsidR="003E3F85" w:rsidRPr="00B62920" w:rsidRDefault="003E3F85" w:rsidP="003E3F85">
      <w:pPr>
        <w:numPr>
          <w:ilvl w:val="0"/>
          <w:numId w:val="2"/>
        </w:numPr>
        <w:tabs>
          <w:tab w:val="left" w:pos="709"/>
        </w:tabs>
        <w:suppressAutoHyphens/>
        <w:autoSpaceDE w:val="0"/>
        <w:jc w:val="both"/>
        <w:rPr>
          <w:lang w:val="en-GB"/>
        </w:rPr>
      </w:pPr>
      <w:r w:rsidRPr="00B62920">
        <w:rPr>
          <w:lang w:val="en-GB"/>
        </w:rPr>
        <w:t xml:space="preserve">On his part, the SRSG does not contest that UNMIK had a duty to investigate the present case under ECHR Article 2. However, according to the SRSG, the unique circumstances pertaining to the Kosovo context and to UNMIK’s deployment in the first phase of its </w:t>
      </w:r>
      <w:r w:rsidRPr="00B62920">
        <w:rPr>
          <w:lang w:val="en-GB"/>
        </w:rPr>
        <w:lastRenderedPageBreak/>
        <w:t xml:space="preserve">mission shall be taken into account when assessing whether this investigation is in compliance with Article 2 of the ECHR. In substance, the SRSG argues that it is not possible to apply to UNMIK the same standards applicable to a State in a normal situation. </w:t>
      </w:r>
    </w:p>
    <w:p w:rsidR="003E3F85" w:rsidRPr="00B62920" w:rsidRDefault="003E3F85" w:rsidP="003E3F85">
      <w:pPr>
        <w:pStyle w:val="ListParagraph"/>
        <w:ind w:left="567"/>
        <w:contextualSpacing/>
        <w:jc w:val="both"/>
        <w:rPr>
          <w:lang w:val="en-GB" w:eastAsia="en-US"/>
        </w:rPr>
      </w:pPr>
    </w:p>
    <w:p w:rsidR="003E3F85" w:rsidRPr="00B62920" w:rsidRDefault="003E3F85" w:rsidP="003E3F85">
      <w:pPr>
        <w:numPr>
          <w:ilvl w:val="0"/>
          <w:numId w:val="2"/>
        </w:numPr>
        <w:tabs>
          <w:tab w:val="left" w:pos="709"/>
        </w:tabs>
        <w:suppressAutoHyphens/>
        <w:autoSpaceDE w:val="0"/>
        <w:jc w:val="both"/>
        <w:rPr>
          <w:lang w:val="en-GB"/>
        </w:rPr>
      </w:pPr>
      <w:r w:rsidRPr="00B62920">
        <w:rPr>
          <w:lang w:val="en-GB"/>
        </w:rPr>
        <w:t xml:space="preserve">The </w:t>
      </w:r>
      <w:r w:rsidRPr="00B62920">
        <w:rPr>
          <w:lang w:val="en-GB" w:eastAsia="nl-BE"/>
        </w:rPr>
        <w:t>Panel</w:t>
      </w:r>
      <w:r w:rsidRPr="00B62920">
        <w:rPr>
          <w:lang w:val="en-GB"/>
        </w:rPr>
        <w:t xml:space="preserve"> considers that this raises two main questions: first, whether the standards of Article 2 continue to apply in situation of conflict or generalised violence and, second, whether such standards shall be considered fully applicable to UNMIK.</w:t>
      </w:r>
    </w:p>
    <w:p w:rsidR="003E3F85" w:rsidRPr="00B62920" w:rsidRDefault="003E3F85" w:rsidP="003E3F85">
      <w:pPr>
        <w:pStyle w:val="ListParagraph"/>
        <w:ind w:left="567" w:hanging="425"/>
        <w:rPr>
          <w:lang w:val="en-GB" w:eastAsia="en-US"/>
        </w:rPr>
      </w:pPr>
    </w:p>
    <w:p w:rsidR="003E3F85" w:rsidRPr="00B62920" w:rsidRDefault="003E3F85" w:rsidP="003E3F85">
      <w:pPr>
        <w:numPr>
          <w:ilvl w:val="0"/>
          <w:numId w:val="2"/>
        </w:numPr>
        <w:tabs>
          <w:tab w:val="left" w:pos="709"/>
        </w:tabs>
        <w:suppressAutoHyphens/>
        <w:autoSpaceDE w:val="0"/>
        <w:jc w:val="both"/>
        <w:rPr>
          <w:lang w:val="en-GB"/>
        </w:rPr>
      </w:pPr>
      <w:r w:rsidRPr="00B62920">
        <w:rPr>
          <w:lang w:val="en-GB"/>
        </w:rPr>
        <w:t xml:space="preserve">As regards </w:t>
      </w:r>
      <w:r w:rsidRPr="00B62920">
        <w:t>t</w:t>
      </w:r>
      <w:r w:rsidRPr="00B62920">
        <w:rPr>
          <w:lang w:val="en-GB"/>
        </w:rPr>
        <w:t xml:space="preserve">he applicability of Article 2 to UNMIK, the Panel recalls </w:t>
      </w:r>
      <w:r w:rsidRPr="00B62920">
        <w:rPr>
          <w:lang w:val="en-GB" w:eastAsia="nl-BE"/>
        </w:rPr>
        <w:t xml:space="preserve">that with the adoption of the UNMIK Regulation No. 1999/1 on 25 July 1999 UNMIK undertook an obligation to observe internationally recognised human rights standards in exercising its </w:t>
      </w:r>
      <w:r w:rsidRPr="00B62920">
        <w:rPr>
          <w:lang w:val="en-GB"/>
        </w:rPr>
        <w:t>functions</w:t>
      </w:r>
      <w:r w:rsidRPr="00B62920">
        <w:rPr>
          <w:lang w:val="en-GB" w:eastAsia="nl-BE"/>
        </w:rPr>
        <w:t xml:space="preserve">. This undertaking was detailed in UNMIK Regulation No. 1999/24 of 12 December 1999, by which UNMIK assumed obligations under certain international human rights instruments, including the ECHR. In this respect, the Panel has already found </w:t>
      </w:r>
      <w:r w:rsidRPr="00B62920">
        <w:rPr>
          <w:lang w:val="en-GB"/>
        </w:rPr>
        <w:t xml:space="preserve">that it is true that UNMIK’s interim character and related difficulties must be duly taken into account with regard to a number of situations, but under no circumstances could these elements be taken as a justification for diminishing standards of respect for human rights, which were duly incorporated into UNMIK’s mandate (see HRAP, </w:t>
      </w:r>
      <w:r w:rsidRPr="00B62920">
        <w:rPr>
          <w:i/>
          <w:lang w:val="en-GB"/>
        </w:rPr>
        <w:t>Milogorić</w:t>
      </w:r>
      <w:r w:rsidRPr="00B62920">
        <w:rPr>
          <w:lang w:val="en-GB"/>
        </w:rPr>
        <w:t xml:space="preserve"> </w:t>
      </w:r>
      <w:r w:rsidRPr="00B62920">
        <w:rPr>
          <w:i/>
          <w:lang w:val="en-GB"/>
        </w:rPr>
        <w:t>and Others,</w:t>
      </w:r>
      <w:r w:rsidRPr="00B62920">
        <w:rPr>
          <w:lang w:val="en-GB"/>
        </w:rPr>
        <w:t xml:space="preserve"> nos. 38/08 and others, opinion of 24 March 2011, § 44; </w:t>
      </w:r>
      <w:r w:rsidRPr="00B62920">
        <w:rPr>
          <w:i/>
          <w:lang w:val="en-GB"/>
        </w:rPr>
        <w:t>Berisha and Others,</w:t>
      </w:r>
      <w:r w:rsidRPr="00B62920">
        <w:rPr>
          <w:lang w:val="en-GB"/>
        </w:rPr>
        <w:t xml:space="preserve"> nos. 27/08 and others, opinion of 23 February 2011,</w:t>
      </w:r>
      <w:r w:rsidRPr="00B62920">
        <w:rPr>
          <w:i/>
          <w:lang w:val="en-GB"/>
        </w:rPr>
        <w:t xml:space="preserve"> </w:t>
      </w:r>
      <w:r w:rsidRPr="00B62920">
        <w:rPr>
          <w:lang w:val="en-GB"/>
        </w:rPr>
        <w:t xml:space="preserve">§ 25; </w:t>
      </w:r>
      <w:r w:rsidRPr="00B62920">
        <w:rPr>
          <w:i/>
          <w:lang w:val="en-GB"/>
        </w:rPr>
        <w:t>Lalić and Others</w:t>
      </w:r>
      <w:r w:rsidRPr="00B62920">
        <w:rPr>
          <w:lang w:val="en-GB"/>
        </w:rPr>
        <w:t>, nos. 09/08 and others, opinion of 9 June 2012, § 22).</w:t>
      </w:r>
    </w:p>
    <w:p w:rsidR="003E3F85" w:rsidRPr="00B62920" w:rsidRDefault="003E3F85" w:rsidP="003E3F85">
      <w:pPr>
        <w:pStyle w:val="ListParagraph"/>
        <w:rPr>
          <w:lang w:val="en-GB"/>
        </w:rPr>
      </w:pPr>
    </w:p>
    <w:p w:rsidR="003E3F85" w:rsidRPr="00B62920" w:rsidRDefault="003E3F85" w:rsidP="003E3F85">
      <w:pPr>
        <w:numPr>
          <w:ilvl w:val="0"/>
          <w:numId w:val="2"/>
        </w:numPr>
        <w:tabs>
          <w:tab w:val="left" w:pos="709"/>
        </w:tabs>
        <w:suppressAutoHyphens/>
        <w:autoSpaceDE w:val="0"/>
        <w:jc w:val="both"/>
        <w:rPr>
          <w:lang w:val="en-GB"/>
        </w:rPr>
      </w:pPr>
      <w:bookmarkStart w:id="101" w:name="_Ref366241246"/>
      <w:r w:rsidRPr="00B62920">
        <w:rPr>
          <w:lang w:val="en-GB"/>
        </w:rPr>
        <w:t xml:space="preserve">Concerning the applicability of Article 2 to situations of conflict or generalised violence, the Panel </w:t>
      </w:r>
      <w:r w:rsidRPr="00B62920">
        <w:t>recalls</w:t>
      </w:r>
      <w:r w:rsidRPr="00B62920">
        <w:rPr>
          <w:lang w:val="en-GB"/>
        </w:rPr>
        <w:t xml:space="preserve"> that the European Court of Human Rights has established the applicability of Article 2 to post-conflict situations, including in countries of the former Yugoslavia (see, among other examples, ECtHR, </w:t>
      </w:r>
      <w:r w:rsidRPr="00B62920">
        <w:rPr>
          <w:i/>
          <w:lang w:val="en-GB"/>
        </w:rPr>
        <w:t>Palić v. Bosnia and Herzegovina,</w:t>
      </w:r>
      <w:r w:rsidRPr="00B62920">
        <w:rPr>
          <w:lang w:val="en-GB"/>
        </w:rPr>
        <w:t xml:space="preserve"> cited in § </w:t>
      </w:r>
      <w:r w:rsidRPr="00B62920">
        <w:fldChar w:fldCharType="begin"/>
      </w:r>
      <w:r w:rsidRPr="00B62920">
        <w:instrText xml:space="preserve"> REF _Ref366239979 \r \h  \* MERGEFORMAT </w:instrText>
      </w:r>
      <w:r w:rsidRPr="00B62920">
        <w:fldChar w:fldCharType="separate"/>
      </w:r>
      <w:r w:rsidR="00B52E51" w:rsidRPr="00B52E51">
        <w:rPr>
          <w:lang w:val="en-GB"/>
        </w:rPr>
        <w:t>71</w:t>
      </w:r>
      <w:r w:rsidRPr="00B62920">
        <w:fldChar w:fldCharType="end"/>
      </w:r>
      <w:r w:rsidRPr="00B62920">
        <w:rPr>
          <w:lang w:val="en-GB"/>
        </w:rPr>
        <w:t xml:space="preserve"> above, and ECtHR, </w:t>
      </w:r>
      <w:r w:rsidRPr="00B62920">
        <w:rPr>
          <w:i/>
          <w:lang w:val="en-GB"/>
        </w:rPr>
        <w:t>Jularić v. Croatia</w:t>
      </w:r>
      <w:r w:rsidRPr="00B62920">
        <w:rPr>
          <w:lang w:val="en-GB"/>
        </w:rPr>
        <w:t xml:space="preserve">, no. 20106/06, judgment of 20 January 2011). The Court has further held that that the procedural obligation under Article 2 continues to apply in “difficult security conditions, including in a context of armed conflict” (see ECtHR [GC], </w:t>
      </w:r>
      <w:r w:rsidRPr="00B62920">
        <w:rPr>
          <w:i/>
          <w:lang w:val="en-GB"/>
        </w:rPr>
        <w:t>Al-Skeini and Others v. the United Kingdom</w:t>
      </w:r>
      <w:r w:rsidRPr="00B62920">
        <w:rPr>
          <w:lang w:val="en-GB"/>
        </w:rPr>
        <w:t xml:space="preserve">, cited in § </w:t>
      </w:r>
      <w:r w:rsidRPr="00B62920">
        <w:fldChar w:fldCharType="begin"/>
      </w:r>
      <w:r w:rsidRPr="00B62920">
        <w:instrText xml:space="preserve"> REF _Ref366240205 \r \h  \* MERGEFORMAT </w:instrText>
      </w:r>
      <w:r w:rsidRPr="00B62920">
        <w:fldChar w:fldCharType="separate"/>
      </w:r>
      <w:r w:rsidR="00B52E51" w:rsidRPr="00B52E51">
        <w:rPr>
          <w:lang w:val="en-GB"/>
        </w:rPr>
        <w:t>75</w:t>
      </w:r>
      <w:r w:rsidRPr="00B62920">
        <w:fldChar w:fldCharType="end"/>
      </w:r>
      <w:r w:rsidRPr="00B62920">
        <w:rPr>
          <w:lang w:val="en-GB"/>
        </w:rPr>
        <w:t xml:space="preserve"> above, at § 164; see also ECtHR, </w:t>
      </w:r>
      <w:r w:rsidRPr="00B62920">
        <w:rPr>
          <w:i/>
          <w:lang w:val="en-GB"/>
        </w:rPr>
        <w:t>Güleç v. Turkey</w:t>
      </w:r>
      <w:r w:rsidRPr="00B62920">
        <w:rPr>
          <w:lang w:val="en-GB"/>
        </w:rPr>
        <w:t>, judgment of 27 July 1998, § 81, Reports 1998-IV; ECtHR,</w:t>
      </w:r>
      <w:r w:rsidRPr="00B62920">
        <w:rPr>
          <w:i/>
          <w:lang w:val="en-GB"/>
        </w:rPr>
        <w:t xml:space="preserve"> Ergi v. Turkey</w:t>
      </w:r>
      <w:r w:rsidRPr="00B62920">
        <w:rPr>
          <w:lang w:val="en-GB"/>
        </w:rPr>
        <w:t>, judgment of 28 July 1998, §§ 79 and 82, Reports 1998-IV; ECtHR,</w:t>
      </w:r>
      <w:r w:rsidRPr="00B62920">
        <w:rPr>
          <w:i/>
          <w:lang w:val="en-GB"/>
        </w:rPr>
        <w:t xml:space="preserve"> Ahmet Özkan and Others v. Turkey</w:t>
      </w:r>
      <w:r w:rsidRPr="00B62920">
        <w:rPr>
          <w:lang w:val="en-GB"/>
        </w:rPr>
        <w:t xml:space="preserve">, cited in § </w:t>
      </w:r>
      <w:r w:rsidRPr="00B62920">
        <w:fldChar w:fldCharType="begin"/>
      </w:r>
      <w:r w:rsidRPr="00B62920">
        <w:instrText xml:space="preserve"> REF _Ref366240125 \r \h  \* MERGEFORMAT </w:instrText>
      </w:r>
      <w:r w:rsidRPr="00B62920">
        <w:fldChar w:fldCharType="separate"/>
      </w:r>
      <w:r w:rsidR="00B52E51" w:rsidRPr="00B52E51">
        <w:rPr>
          <w:lang w:val="en-GB"/>
        </w:rPr>
        <w:t>70</w:t>
      </w:r>
      <w:r w:rsidRPr="00B62920">
        <w:fldChar w:fldCharType="end"/>
      </w:r>
      <w:r w:rsidRPr="00B62920">
        <w:rPr>
          <w:lang w:val="en-GB"/>
        </w:rPr>
        <w:t xml:space="preserve"> above, at §§ 85-90, 309-320 and 326-330;</w:t>
      </w:r>
      <w:r w:rsidRPr="00B62920">
        <w:rPr>
          <w:i/>
          <w:lang w:val="en-GB"/>
        </w:rPr>
        <w:t xml:space="preserve"> </w:t>
      </w:r>
      <w:r w:rsidR="00B41BE6" w:rsidRPr="00B62920">
        <w:rPr>
          <w:lang w:val="en-GB"/>
        </w:rPr>
        <w:t xml:space="preserve">ECtHR, </w:t>
      </w:r>
      <w:r w:rsidRPr="00B62920">
        <w:rPr>
          <w:i/>
          <w:lang w:val="en-GB"/>
        </w:rPr>
        <w:t>Isayeva v. Russia</w:t>
      </w:r>
      <w:r w:rsidRPr="00B62920">
        <w:rPr>
          <w:lang w:val="en-GB"/>
        </w:rPr>
        <w:t xml:space="preserve">, cited in § </w:t>
      </w:r>
      <w:r w:rsidRPr="00B62920">
        <w:fldChar w:fldCharType="begin"/>
      </w:r>
      <w:r w:rsidRPr="00B62920">
        <w:instrText xml:space="preserve"> REF _Ref366240125 \r \h  \* MERGEFORMAT </w:instrText>
      </w:r>
      <w:r w:rsidRPr="00B62920">
        <w:fldChar w:fldCharType="separate"/>
      </w:r>
      <w:r w:rsidR="00B52E51" w:rsidRPr="00B52E51">
        <w:rPr>
          <w:lang w:val="en-GB"/>
        </w:rPr>
        <w:t>70</w:t>
      </w:r>
      <w:r w:rsidRPr="00B62920">
        <w:fldChar w:fldCharType="end"/>
      </w:r>
      <w:r w:rsidRPr="00B62920">
        <w:rPr>
          <w:lang w:val="en-GB"/>
        </w:rPr>
        <w:t xml:space="preserve"> above, at §§ 180 and 210; ECtHR, </w:t>
      </w:r>
      <w:r w:rsidRPr="00B62920">
        <w:rPr>
          <w:i/>
          <w:lang w:val="en-GB"/>
        </w:rPr>
        <w:t>Kanlibaş v. Turkey</w:t>
      </w:r>
      <w:r w:rsidRPr="00B62920">
        <w:rPr>
          <w:lang w:val="en-GB"/>
        </w:rPr>
        <w:t>, no. 32444/96, judgment of 8 December 2005, §§ 39-51).</w:t>
      </w:r>
      <w:bookmarkEnd w:id="101"/>
      <w:r w:rsidRPr="00B62920">
        <w:rPr>
          <w:lang w:val="en-GB"/>
        </w:rPr>
        <w:t xml:space="preserve"> </w:t>
      </w:r>
    </w:p>
    <w:p w:rsidR="003E3F85" w:rsidRPr="00B62920" w:rsidRDefault="003E3F85" w:rsidP="003E3F85">
      <w:pPr>
        <w:pStyle w:val="ListParagraph"/>
        <w:suppressAutoHyphens w:val="0"/>
        <w:ind w:left="567"/>
        <w:contextualSpacing/>
        <w:jc w:val="both"/>
        <w:rPr>
          <w:lang w:val="en-GB" w:eastAsia="en-US"/>
        </w:rPr>
      </w:pPr>
    </w:p>
    <w:p w:rsidR="003E3F85" w:rsidRPr="00B62920" w:rsidRDefault="003E3F85" w:rsidP="003E3F85">
      <w:pPr>
        <w:numPr>
          <w:ilvl w:val="0"/>
          <w:numId w:val="2"/>
        </w:numPr>
        <w:tabs>
          <w:tab w:val="left" w:pos="709"/>
        </w:tabs>
        <w:suppressAutoHyphens/>
        <w:autoSpaceDE w:val="0"/>
        <w:jc w:val="both"/>
        <w:rPr>
          <w:lang w:val="en-GB"/>
        </w:rPr>
      </w:pPr>
      <w:bookmarkStart w:id="102" w:name="_Ref366241459"/>
      <w:r w:rsidRPr="00B62920">
        <w:rPr>
          <w:lang w:val="en-GB"/>
        </w:rPr>
        <w:t xml:space="preserve">The Court has acknowledged that “where the death to be investigated under Article 2 occurs in circumstances of generalised violence, armed conflict or insurgency, obstacles may be placed in the way of investigators and […] concrete constraints </w:t>
      </w:r>
      <w:r w:rsidRPr="00B62920">
        <w:t>may</w:t>
      </w:r>
      <w:r w:rsidRPr="00B62920">
        <w:rPr>
          <w:lang w:val="en-GB"/>
        </w:rPr>
        <w:t xml:space="preserve"> compel the use of less effective measures of investigation or may cause an investigation t</w:t>
      </w:r>
      <w:r w:rsidR="00DD33CB" w:rsidRPr="00B62920">
        <w:rPr>
          <w:lang w:val="en-GB"/>
        </w:rPr>
        <w:t>o be delayed” (see</w:t>
      </w:r>
      <w:r w:rsidRPr="00B62920">
        <w:rPr>
          <w:lang w:val="en-GB"/>
        </w:rPr>
        <w:t xml:space="preserve"> ECtHR [GC], </w:t>
      </w:r>
      <w:r w:rsidRPr="00B62920">
        <w:rPr>
          <w:i/>
          <w:lang w:val="en-GB"/>
        </w:rPr>
        <w:t xml:space="preserve">Al-Skeini and Others v. the United Kingdom, </w:t>
      </w:r>
      <w:r w:rsidRPr="00B62920">
        <w:rPr>
          <w:lang w:val="en-GB"/>
        </w:rPr>
        <w:t>cited above, at §164;</w:t>
      </w:r>
      <w:r w:rsidRPr="00B62920">
        <w:rPr>
          <w:i/>
          <w:lang w:val="en-GB"/>
        </w:rPr>
        <w:t xml:space="preserve"> </w:t>
      </w:r>
      <w:r w:rsidRPr="00B62920">
        <w:rPr>
          <w:lang w:val="en-GB"/>
        </w:rPr>
        <w:t>ECtHR,</w:t>
      </w:r>
      <w:r w:rsidRPr="00B62920">
        <w:rPr>
          <w:i/>
          <w:lang w:val="en-GB"/>
        </w:rPr>
        <w:t xml:space="preserve"> Bazorkina v. Russia</w:t>
      </w:r>
      <w:r w:rsidRPr="00B62920">
        <w:rPr>
          <w:lang w:val="en-GB"/>
        </w:rPr>
        <w:t xml:space="preserve">, no. 69481/01, judgment of 27 July 2006, § 121). Nonetheless, the Court has held that “the obligation under Article 2 to safeguard life entails that, even in difficult security conditions, all reasonable steps must be taken to ensure that an effective, independent investigation is conducted into alleged breaches of the right to life (see, amongst many other examples, ECtHR, </w:t>
      </w:r>
      <w:r w:rsidRPr="00B62920">
        <w:rPr>
          <w:i/>
          <w:lang w:val="en-GB"/>
        </w:rPr>
        <w:t>Kaya v. Turkey</w:t>
      </w:r>
      <w:r w:rsidRPr="00B62920">
        <w:rPr>
          <w:lang w:val="en-GB"/>
        </w:rPr>
        <w:t xml:space="preserve">, cited in § </w:t>
      </w:r>
      <w:r w:rsidRPr="00B62920">
        <w:fldChar w:fldCharType="begin"/>
      </w:r>
      <w:r w:rsidRPr="00B62920">
        <w:instrText xml:space="preserve"> REF _Ref366239860 \r \h  \* MERGEFORMAT </w:instrText>
      </w:r>
      <w:r w:rsidRPr="00B62920">
        <w:fldChar w:fldCharType="separate"/>
      </w:r>
      <w:r w:rsidR="00B52E51" w:rsidRPr="00B52E51">
        <w:rPr>
          <w:lang w:val="en-GB"/>
        </w:rPr>
        <w:t>68</w:t>
      </w:r>
      <w:r w:rsidRPr="00B62920">
        <w:fldChar w:fldCharType="end"/>
      </w:r>
      <w:r w:rsidRPr="00B62920">
        <w:rPr>
          <w:lang w:val="en-GB"/>
        </w:rPr>
        <w:t xml:space="preserve"> above, at §§ 86</w:t>
      </w:r>
      <w:r w:rsidRPr="00B62920">
        <w:rPr>
          <w:lang w:val="en-GB"/>
        </w:rPr>
        <w:noBreakHyphen/>
        <w:t xml:space="preserve">92; ECtHR, </w:t>
      </w:r>
      <w:r w:rsidRPr="00B62920">
        <w:rPr>
          <w:i/>
          <w:lang w:val="en-GB"/>
        </w:rPr>
        <w:t xml:space="preserve">Ergi v Turkey, </w:t>
      </w:r>
      <w:r w:rsidRPr="00B62920">
        <w:rPr>
          <w:lang w:val="en-GB"/>
        </w:rPr>
        <w:lastRenderedPageBreak/>
        <w:t xml:space="preserve">cited above, at §§ 82-85; ECtHR [GC], </w:t>
      </w:r>
      <w:r w:rsidRPr="00B62920">
        <w:rPr>
          <w:i/>
          <w:lang w:val="en-GB"/>
        </w:rPr>
        <w:t>Tanrıkulu v. Turkey</w:t>
      </w:r>
      <w:r w:rsidRPr="00B62920">
        <w:rPr>
          <w:lang w:val="en-GB"/>
        </w:rPr>
        <w:t xml:space="preserve">, no. 23763/94, judgment of 8 July 1999, §§ 101-110, ECHR 1999-IV; ECtHR, </w:t>
      </w:r>
      <w:r w:rsidRPr="00B62920">
        <w:rPr>
          <w:i/>
          <w:lang w:val="en-GB"/>
        </w:rPr>
        <w:t>Khashiyev and Akayeva v. Russia</w:t>
      </w:r>
      <w:r w:rsidRPr="00B62920">
        <w:rPr>
          <w:lang w:val="en-GB"/>
        </w:rPr>
        <w:t xml:space="preserve">, nos. 57942/00 and 57945/00, judgment of 24 February 2005, §§ 156-166; ECtHR, </w:t>
      </w:r>
      <w:r w:rsidRPr="00B62920">
        <w:rPr>
          <w:i/>
          <w:lang w:val="en-GB"/>
        </w:rPr>
        <w:t>Isayeva v. Russia</w:t>
      </w:r>
      <w:r w:rsidRPr="00B62920">
        <w:rPr>
          <w:lang w:val="en-GB"/>
        </w:rPr>
        <w:t>, cited above, at §§ 215</w:t>
      </w:r>
      <w:r w:rsidRPr="00B62920">
        <w:rPr>
          <w:lang w:val="en-GB"/>
        </w:rPr>
        <w:noBreakHyphen/>
        <w:t xml:space="preserve">224; ECtHR, </w:t>
      </w:r>
      <w:r w:rsidRPr="00B62920">
        <w:rPr>
          <w:i/>
          <w:lang w:val="en-GB"/>
        </w:rPr>
        <w:t>Musayev and Others v. Russia</w:t>
      </w:r>
      <w:r w:rsidRPr="00B62920">
        <w:rPr>
          <w:lang w:val="en-GB"/>
        </w:rPr>
        <w:t>, nos. 57941/00 and others, judgment of 26 July 2007, §§ 158-165).</w:t>
      </w:r>
      <w:bookmarkEnd w:id="102"/>
      <w:r w:rsidRPr="00B62920">
        <w:rPr>
          <w:lang w:val="en-GB"/>
        </w:rPr>
        <w:t xml:space="preserve"> </w:t>
      </w:r>
    </w:p>
    <w:p w:rsidR="003E3F85" w:rsidRPr="00B62920" w:rsidRDefault="003E3F85" w:rsidP="003E3F85">
      <w:pPr>
        <w:pStyle w:val="ListParagraph"/>
        <w:suppressAutoHyphens w:val="0"/>
        <w:ind w:left="567"/>
        <w:contextualSpacing/>
        <w:jc w:val="both"/>
        <w:rPr>
          <w:lang w:val="en-GB" w:eastAsia="en-US"/>
        </w:rPr>
      </w:pPr>
    </w:p>
    <w:p w:rsidR="003E3F85" w:rsidRPr="00B62920" w:rsidRDefault="003E3F85" w:rsidP="003E3F85">
      <w:pPr>
        <w:numPr>
          <w:ilvl w:val="0"/>
          <w:numId w:val="2"/>
        </w:numPr>
        <w:tabs>
          <w:tab w:val="left" w:pos="709"/>
        </w:tabs>
        <w:suppressAutoHyphens/>
        <w:autoSpaceDE w:val="0"/>
        <w:jc w:val="both"/>
        <w:rPr>
          <w:lang w:val="en-GB"/>
        </w:rPr>
      </w:pPr>
      <w:bookmarkStart w:id="103" w:name="_Ref404685440"/>
      <w:r w:rsidRPr="00B62920">
        <w:rPr>
          <w:lang w:val="en-GB"/>
        </w:rPr>
        <w:t xml:space="preserve">Similarly, the HRC has held that the right to life, including its procedural guarantees, shall be </w:t>
      </w:r>
      <w:r w:rsidRPr="00B62920">
        <w:t>considered</w:t>
      </w:r>
      <w:r w:rsidRPr="00B62920">
        <w:rPr>
          <w:lang w:val="en-GB"/>
        </w:rPr>
        <w:t xml:space="preserve"> as the supreme right from which no derogation is permitted even in time of public emergency which threatens the life of the nation (see HRC, General Comment No. 6, cited in § </w:t>
      </w:r>
      <w:r w:rsidR="00E879A0" w:rsidRPr="00B62920">
        <w:fldChar w:fldCharType="begin"/>
      </w:r>
      <w:r w:rsidR="00E879A0" w:rsidRPr="00B62920">
        <w:rPr>
          <w:lang w:val="en-GB"/>
        </w:rPr>
        <w:instrText xml:space="preserve"> REF _Ref412809772 \r \h </w:instrText>
      </w:r>
      <w:r w:rsidR="00E879A0" w:rsidRPr="00B62920">
        <w:instrText xml:space="preserve"> \* MERGEFORMAT </w:instrText>
      </w:r>
      <w:r w:rsidR="00E879A0" w:rsidRPr="00B62920">
        <w:fldChar w:fldCharType="separate"/>
      </w:r>
      <w:r w:rsidR="00B52E51">
        <w:rPr>
          <w:lang w:val="en-GB"/>
        </w:rPr>
        <w:t>63</w:t>
      </w:r>
      <w:r w:rsidR="00E879A0" w:rsidRPr="00B62920">
        <w:fldChar w:fldCharType="end"/>
      </w:r>
      <w:r w:rsidRPr="00B62920">
        <w:rPr>
          <w:lang w:val="en-GB"/>
        </w:rPr>
        <w:t xml:space="preserve"> above, at § 1; HRC, </w:t>
      </w:r>
      <w:r w:rsidRPr="00B62920">
        <w:rPr>
          <w:i/>
          <w:lang w:val="en-GB"/>
        </w:rPr>
        <w:t>Abubakar Amirov and Aïzan Amirova v. Russi</w:t>
      </w:r>
      <w:r w:rsidRPr="00B62920">
        <w:rPr>
          <w:lang w:val="en-GB"/>
        </w:rPr>
        <w:t>a</w:t>
      </w:r>
      <w:r w:rsidRPr="00B62920">
        <w:rPr>
          <w:i/>
          <w:lang w:val="en-GB"/>
        </w:rPr>
        <w:t>n Federation</w:t>
      </w:r>
      <w:r w:rsidRPr="00B62920">
        <w:rPr>
          <w:lang w:val="en-GB"/>
        </w:rPr>
        <w:t xml:space="preserve">, communication no. 1447/2006, views of 22 April 2009, § 11.2, </w:t>
      </w:r>
      <w:r w:rsidRPr="00B62920">
        <w:rPr>
          <w:bCs/>
          <w:lang w:val="en-GB"/>
        </w:rPr>
        <w:t>CCPR/C/95/D/1447/2006</w:t>
      </w:r>
      <w:r w:rsidRPr="00B62920">
        <w:rPr>
          <w:lang w:val="en-GB"/>
        </w:rPr>
        <w:t>). Further, the HRC has stated the applicability of Article 2 (3), 6 and 7 of the ICCPR with specific reference to UNMIK’s obligation to conduct proper investigations on disappearances and abductions in Kosovo (see HRC, Concluding Observations of the Human Rights Committee: Kosovo (Serbia), 14 August 2006, §§ 12-13, CCPR/C/UNK/CO/1).</w:t>
      </w:r>
      <w:bookmarkStart w:id="104" w:name="_Ref343611663"/>
      <w:bookmarkEnd w:id="103"/>
    </w:p>
    <w:p w:rsidR="003E3F85" w:rsidRPr="00B62920" w:rsidRDefault="003E3F85" w:rsidP="003E3F85">
      <w:pPr>
        <w:pStyle w:val="ListParagraph"/>
        <w:rPr>
          <w:lang w:val="en-GB"/>
        </w:rPr>
      </w:pPr>
    </w:p>
    <w:p w:rsidR="003E3F85" w:rsidRPr="00B62920" w:rsidRDefault="003E3F85" w:rsidP="003E3F85">
      <w:pPr>
        <w:numPr>
          <w:ilvl w:val="0"/>
          <w:numId w:val="2"/>
        </w:numPr>
        <w:tabs>
          <w:tab w:val="left" w:pos="709"/>
        </w:tabs>
        <w:suppressAutoHyphens/>
        <w:autoSpaceDE w:val="0"/>
        <w:jc w:val="both"/>
        <w:rPr>
          <w:lang w:val="en-GB"/>
        </w:rPr>
      </w:pPr>
      <w:bookmarkStart w:id="105" w:name="_Ref414025885"/>
      <w:r w:rsidRPr="00B62920">
        <w:rPr>
          <w:lang w:val="en-GB"/>
        </w:rPr>
        <w:t xml:space="preserve">The Panel appreciates the difficulties encountered by UNMIK during the first phase of its </w:t>
      </w:r>
      <w:r w:rsidRPr="00B62920">
        <w:t>deployment</w:t>
      </w:r>
      <w:r w:rsidRPr="00B62920">
        <w:rPr>
          <w:lang w:val="en-GB"/>
        </w:rPr>
        <w:t xml:space="preserve">. The Panel notes that the appropriate importance attached to the issue of missing persons in Kosovo meant that UNMIK had to take into account both the humanitarian and criminal dimensions of the situation. In particular, the Panel considers that the importance attached to the criminal investigations and the difficulties in Kosovo that limited the abilities of investigating authorities to conduct such investigations, as described by the SRSG, made it crucial that UNMIK establish from the outset an environment conducive to the performance of meaningful investigations. This would involve putting in place a system that would include such elements as the allocation of overall responsibility for the supervision and monitoring of progress in investigations, provision for the regular review of the status of investigations, and a process for the proper handover of cases between different officers or units of UNMIK Police. Such a system should also take account of the protection needs of victims and witnesses (see, </w:t>
      </w:r>
      <w:r w:rsidRPr="00B62920">
        <w:rPr>
          <w:i/>
          <w:lang w:val="en-GB"/>
        </w:rPr>
        <w:t>mutatis mutandis</w:t>
      </w:r>
      <w:r w:rsidRPr="00B62920">
        <w:rPr>
          <w:lang w:val="en-GB"/>
        </w:rPr>
        <w:t xml:space="preserve">, ECtHR, </w:t>
      </w:r>
      <w:r w:rsidRPr="00B62920">
        <w:rPr>
          <w:i/>
          <w:lang w:val="en-GB"/>
        </w:rPr>
        <w:t>R.R. and Others v. Hungary</w:t>
      </w:r>
      <w:r w:rsidRPr="00B62920">
        <w:rPr>
          <w:lang w:val="en-GB"/>
        </w:rPr>
        <w:t xml:space="preserve">, no. 19400/11, judgment of 4 December 2012, §§ 28-32), as well as to consider the special vulnerability of displaced persons in post-conflict situations (see ECtHR [GC], </w:t>
      </w:r>
      <w:r w:rsidRPr="00B62920">
        <w:rPr>
          <w:i/>
          <w:lang w:val="en-GB"/>
        </w:rPr>
        <w:t xml:space="preserve">Sargsyan v. Azerbaijan, </w:t>
      </w:r>
      <w:r w:rsidRPr="00B62920">
        <w:rPr>
          <w:lang w:val="en-GB"/>
        </w:rPr>
        <w:t xml:space="preserve">no. 40167/06, decision of 14 December 2011, § 145; and ECtHR [GC], </w:t>
      </w:r>
      <w:r w:rsidRPr="00B62920">
        <w:rPr>
          <w:i/>
          <w:lang w:val="en-GB"/>
        </w:rPr>
        <w:t>Chiragov and Others v. Armenia</w:t>
      </w:r>
      <w:r w:rsidRPr="00B62920">
        <w:rPr>
          <w:lang w:val="en-GB"/>
        </w:rPr>
        <w:t xml:space="preserve">, no. 13216/05, decision of 14 December 2011, § 146). While understanding that the deployment and the organisation of the police and justice apparatus occurred gradually, the Panel deems that this process was completed in 2003 when the police and justice system in Kosovo was described as being “well-functioning” and “sustainable” by the UN Secretary-General (see § </w:t>
      </w:r>
      <w:r w:rsidRPr="00B62920">
        <w:fldChar w:fldCharType="begin"/>
      </w:r>
      <w:r w:rsidRPr="00B62920">
        <w:instrText xml:space="preserve"> REF _Ref346123767 \r \h  \* MERGEFORMAT </w:instrText>
      </w:r>
      <w:r w:rsidRPr="00B62920">
        <w:fldChar w:fldCharType="separate"/>
      </w:r>
      <w:r w:rsidR="00B52E51" w:rsidRPr="00B52E51">
        <w:rPr>
          <w:lang w:val="en-GB"/>
        </w:rPr>
        <w:t>16</w:t>
      </w:r>
      <w:r w:rsidRPr="00B62920">
        <w:fldChar w:fldCharType="end"/>
      </w:r>
      <w:r w:rsidRPr="00B62920">
        <w:rPr>
          <w:lang w:val="en-GB"/>
        </w:rPr>
        <w:t xml:space="preserve"> above).</w:t>
      </w:r>
      <w:bookmarkEnd w:id="104"/>
      <w:bookmarkEnd w:id="105"/>
    </w:p>
    <w:p w:rsidR="003E3F85" w:rsidRPr="00B62920" w:rsidRDefault="003E3F85" w:rsidP="003E3F85">
      <w:pPr>
        <w:pStyle w:val="ListParagraph"/>
        <w:suppressAutoHyphens w:val="0"/>
        <w:ind w:left="567"/>
        <w:contextualSpacing/>
        <w:jc w:val="both"/>
        <w:rPr>
          <w:lang w:val="en-GB" w:eastAsia="en-US"/>
        </w:rPr>
      </w:pPr>
    </w:p>
    <w:p w:rsidR="003E3F85" w:rsidRPr="00B62920" w:rsidRDefault="003E3F85" w:rsidP="003E3F85">
      <w:pPr>
        <w:numPr>
          <w:ilvl w:val="0"/>
          <w:numId w:val="2"/>
        </w:numPr>
        <w:tabs>
          <w:tab w:val="left" w:pos="709"/>
        </w:tabs>
        <w:suppressAutoHyphens/>
        <w:autoSpaceDE w:val="0"/>
        <w:jc w:val="both"/>
        <w:rPr>
          <w:rStyle w:val="sb8d990e2"/>
          <w:lang w:val="en-GB"/>
        </w:rPr>
      </w:pPr>
      <w:bookmarkStart w:id="106" w:name="_Ref366163789"/>
      <w:r w:rsidRPr="00B62920">
        <w:rPr>
          <w:rStyle w:val="sb8d990e2"/>
          <w:lang w:val="en-GB"/>
        </w:rPr>
        <w:t xml:space="preserve">The Panel </w:t>
      </w:r>
      <w:r w:rsidRPr="00B62920">
        <w:t>further</w:t>
      </w:r>
      <w:r w:rsidRPr="00B62920">
        <w:rPr>
          <w:rStyle w:val="sb8d990e2"/>
          <w:lang w:val="en-GB"/>
        </w:rPr>
        <w:t xml:space="preserve"> notes that its task is not to review relevant practices or alleged obstacles to the conduct of effective investigations </w:t>
      </w:r>
      <w:r w:rsidRPr="00B62920">
        <w:rPr>
          <w:rStyle w:val="s6b621b36"/>
          <w:i/>
          <w:lang w:val="en-GB"/>
        </w:rPr>
        <w:t xml:space="preserve">in </w:t>
      </w:r>
      <w:r w:rsidRPr="00B62920">
        <w:rPr>
          <w:rStyle w:val="wordhighlighted"/>
          <w:i/>
          <w:lang w:val="en-GB"/>
        </w:rPr>
        <w:t>abstracto</w:t>
      </w:r>
      <w:r w:rsidRPr="00B62920">
        <w:rPr>
          <w:rStyle w:val="sb8d990e2"/>
          <w:lang w:val="en-GB"/>
        </w:rPr>
        <w:t>, but only in relation to their specific </w:t>
      </w:r>
      <w:r w:rsidRPr="00B62920">
        <w:t>application</w:t>
      </w:r>
      <w:r w:rsidRPr="00B62920">
        <w:rPr>
          <w:rStyle w:val="sb8d990e2"/>
          <w:lang w:val="en-GB"/>
        </w:rPr>
        <w:t xml:space="preserve"> to the particular circumstances of a situation subject of a complaint before it (see ECtHR, </w:t>
      </w:r>
      <w:r w:rsidRPr="00B62920">
        <w:rPr>
          <w:rStyle w:val="s6b621b36"/>
          <w:i/>
          <w:lang w:val="en-GB"/>
        </w:rPr>
        <w:t>Brogan and Others v. the United Kingdom</w:t>
      </w:r>
      <w:r w:rsidRPr="00B62920">
        <w:rPr>
          <w:rStyle w:val="sb8d990e2"/>
          <w:lang w:val="en-GB"/>
        </w:rPr>
        <w:t xml:space="preserve">, </w:t>
      </w:r>
      <w:r w:rsidRPr="00B62920">
        <w:rPr>
          <w:rStyle w:val="column01"/>
          <w:lang w:val="en-GB"/>
        </w:rPr>
        <w:t>judgment of</w:t>
      </w:r>
      <w:r w:rsidRPr="00B62920">
        <w:rPr>
          <w:rStyle w:val="sb8d990e2"/>
          <w:lang w:val="en-GB"/>
        </w:rPr>
        <w:t xml:space="preserve"> 29 November 1988,</w:t>
      </w:r>
      <w:r w:rsidRPr="00B62920">
        <w:rPr>
          <w:lang w:val="en-GB"/>
        </w:rPr>
        <w:t xml:space="preserve"> </w:t>
      </w:r>
      <w:r w:rsidRPr="00B62920">
        <w:rPr>
          <w:rStyle w:val="sb8d990e2"/>
          <w:lang w:val="en-GB"/>
        </w:rPr>
        <w:t xml:space="preserve">§ 53, Series A no. 145-B). </w:t>
      </w:r>
      <w:r w:rsidRPr="00B62920">
        <w:rPr>
          <w:lang w:val="en-GB"/>
        </w:rPr>
        <w:t xml:space="preserve">The Panel thus agrees with the SRSG that the nature and degree of scrutiny to determine whether the effectiveness of the investigation satisfies the minimum threshold depends on the circumstances of the particular case. </w:t>
      </w:r>
      <w:r w:rsidRPr="00B62920">
        <w:rPr>
          <w:rStyle w:val="sb8d990e2"/>
          <w:lang w:val="en-GB"/>
        </w:rPr>
        <w:t xml:space="preserve">For these reasons, the Panel considers that it will establish with regard to each case if all reasonable steps were </w:t>
      </w:r>
      <w:r w:rsidRPr="00B62920">
        <w:rPr>
          <w:rStyle w:val="sb8d990e2"/>
          <w:lang w:val="en-GB"/>
        </w:rPr>
        <w:lastRenderedPageBreak/>
        <w:t>taken to conduct an effective investigation as prescribed by Article 2,</w:t>
      </w:r>
      <w:r w:rsidRPr="00B62920">
        <w:rPr>
          <w:lang w:val="en-GB"/>
        </w:rPr>
        <w:t xml:space="preserve"> </w:t>
      </w:r>
      <w:r w:rsidRPr="00B62920">
        <w:rPr>
          <w:rStyle w:val="sb8d990e2"/>
          <w:lang w:val="en-GB"/>
        </w:rPr>
        <w:t>having regard to the realities of the investigative work in Kosovo.</w:t>
      </w:r>
      <w:bookmarkEnd w:id="106"/>
    </w:p>
    <w:p w:rsidR="003E3F85" w:rsidRPr="00B62920" w:rsidRDefault="003E3F85" w:rsidP="003E3F85">
      <w:pPr>
        <w:pStyle w:val="ListParagraph"/>
        <w:rPr>
          <w:rStyle w:val="sb8d990e2"/>
          <w:lang w:val="en-GB" w:eastAsia="en-US"/>
        </w:rPr>
      </w:pPr>
    </w:p>
    <w:p w:rsidR="003E3F85" w:rsidRPr="00B62920" w:rsidRDefault="003E3F85" w:rsidP="00B41BE6">
      <w:pPr>
        <w:numPr>
          <w:ilvl w:val="0"/>
          <w:numId w:val="2"/>
        </w:numPr>
        <w:tabs>
          <w:tab w:val="left" w:pos="709"/>
        </w:tabs>
        <w:suppressAutoHyphens/>
        <w:autoSpaceDE w:val="0"/>
        <w:jc w:val="both"/>
        <w:rPr>
          <w:lang w:eastAsia="nl-NL"/>
        </w:rPr>
      </w:pPr>
      <w:r w:rsidRPr="00B62920">
        <w:t xml:space="preserve">Lastly, in response to the SRSG’s objection that Article 2 must be interpreted in a way which </w:t>
      </w:r>
      <w:r w:rsidRPr="00B62920">
        <w:rPr>
          <w:lang w:val="en-GB"/>
        </w:rPr>
        <w:t>does</w:t>
      </w:r>
      <w:r w:rsidRPr="00B62920">
        <w:t xml:space="preserve"> not </w:t>
      </w:r>
      <w:r w:rsidRPr="00B62920">
        <w:rPr>
          <w:lang w:val="en-GB"/>
        </w:rPr>
        <w:t>impose</w:t>
      </w:r>
      <w:r w:rsidRPr="00B62920">
        <w:t xml:space="preserve"> an impossible or disproportionate burden on the authorities, e</w:t>
      </w:r>
      <w:r w:rsidR="00622236" w:rsidRPr="00B62920">
        <w:t>ither in the context of policin</w:t>
      </w:r>
      <w:r w:rsidRPr="00B62920">
        <w:rPr>
          <w:lang w:val="en-GB"/>
        </w:rPr>
        <w:t>g</w:t>
      </w:r>
      <w:r w:rsidRPr="00B62920">
        <w:t xml:space="preserve"> activities or that of priorities and resources, the Panel takes into account that the European Court has established that what amounts to an impossible and/or disproportionate burden must be measured by the very particular facts and contexts (see ECtHR, </w:t>
      </w:r>
      <w:r w:rsidRPr="00B62920">
        <w:rPr>
          <w:i/>
        </w:rPr>
        <w:t>Palić v. Bosnia and Herzegovina,</w:t>
      </w:r>
      <w:r w:rsidRPr="00B62920">
        <w:t xml:space="preserve"> cited in § </w:t>
      </w:r>
      <w:r w:rsidRPr="00B62920">
        <w:fldChar w:fldCharType="begin"/>
      </w:r>
      <w:r w:rsidRPr="00B62920">
        <w:instrText xml:space="preserve"> REF _Ref366239979 \r \h  \* MERGEFORMAT </w:instrText>
      </w:r>
      <w:r w:rsidRPr="00B62920">
        <w:fldChar w:fldCharType="separate"/>
      </w:r>
      <w:r w:rsidR="00B52E51">
        <w:t>71</w:t>
      </w:r>
      <w:r w:rsidRPr="00B62920">
        <w:fldChar w:fldCharType="end"/>
      </w:r>
      <w:r w:rsidRPr="00B62920">
        <w:t xml:space="preserve"> above, at § 70; </w:t>
      </w:r>
      <w:r w:rsidR="00B41BE6" w:rsidRPr="00B62920">
        <w:t xml:space="preserve">ECtHR, </w:t>
      </w:r>
      <w:r w:rsidRPr="00B62920">
        <w:rPr>
          <w:i/>
        </w:rPr>
        <w:t>Brecknell v. The United Kingdom,</w:t>
      </w:r>
      <w:r w:rsidRPr="00B62920">
        <w:t xml:space="preserve"> no. 32457/04, judgment of 27 November 2007, § 62).</w:t>
      </w:r>
    </w:p>
    <w:p w:rsidR="00CE4484" w:rsidRPr="00B62920" w:rsidRDefault="00CE4484" w:rsidP="00CE4484">
      <w:pPr>
        <w:pStyle w:val="ListParagraph"/>
        <w:rPr>
          <w:lang w:eastAsia="nl-NL"/>
        </w:rPr>
      </w:pPr>
    </w:p>
    <w:p w:rsidR="00CE4484" w:rsidRPr="00B62920" w:rsidRDefault="00CE4484" w:rsidP="00CE4484">
      <w:pPr>
        <w:numPr>
          <w:ilvl w:val="0"/>
          <w:numId w:val="2"/>
        </w:numPr>
        <w:contextualSpacing/>
        <w:jc w:val="both"/>
        <w:rPr>
          <w:rStyle w:val="sb8d990e2"/>
          <w:color w:val="000000" w:themeColor="text1"/>
          <w:lang w:val="en-GB"/>
        </w:rPr>
      </w:pPr>
      <w:bookmarkStart w:id="107" w:name="_Ref403834230"/>
      <w:r w:rsidRPr="00B62920">
        <w:rPr>
          <w:rStyle w:val="sb8d990e2"/>
          <w:color w:val="000000" w:themeColor="text1"/>
          <w:lang w:val="en-GB"/>
        </w:rPr>
        <w:t xml:space="preserve">The Panel puts on record that it has already analysed the effectiveness under Article 2 of numerous investigations conducted by UNMIK with respect to killings, abductions and disappearances related to the conflict in Kosovo. The Panel has identified common shortcomings in these investigations such as delays in the registration of the cases and lengthy periods of inactivity from the outset and in the period within the Panel’s jurisdiction; failure to take basic investigative steps and follow obvious lines of enquiry; lack of coordination among different units of UNMIK Police; lack of regular and meaningful reviews of cases; lack of prosecutorial oversight and failure to provide family members with minimum necessary information on the status of the investigation  (compare with ECtHR, </w:t>
      </w:r>
      <w:r w:rsidRPr="00B62920">
        <w:rPr>
          <w:rStyle w:val="sb8d990e2"/>
          <w:i/>
          <w:color w:val="000000" w:themeColor="text1"/>
          <w:lang w:val="en-GB"/>
        </w:rPr>
        <w:t>Aslakhanova and Others v. Russia</w:t>
      </w:r>
      <w:r w:rsidRPr="00B62920">
        <w:rPr>
          <w:rStyle w:val="sb8d990e2"/>
          <w:color w:val="000000" w:themeColor="text1"/>
          <w:lang w:val="en-GB"/>
        </w:rPr>
        <w:t xml:space="preserve">, cited in § </w:t>
      </w:r>
      <w:r w:rsidRPr="00B62920">
        <w:rPr>
          <w:rStyle w:val="sb8d990e2"/>
          <w:color w:val="000000" w:themeColor="text1"/>
          <w:lang w:val="en-GB"/>
        </w:rPr>
        <w:fldChar w:fldCharType="begin"/>
      </w:r>
      <w:r w:rsidRPr="00B62920">
        <w:rPr>
          <w:rStyle w:val="sb8d990e2"/>
          <w:color w:val="000000" w:themeColor="text1"/>
          <w:lang w:val="en-GB"/>
        </w:rPr>
        <w:instrText xml:space="preserve"> REF _Ref373950745 \r \h </w:instrText>
      </w:r>
      <w:r w:rsidR="00393E7A" w:rsidRPr="00B62920">
        <w:rPr>
          <w:rStyle w:val="sb8d990e2"/>
          <w:color w:val="000000" w:themeColor="text1"/>
          <w:lang w:val="en-GB"/>
        </w:rPr>
        <w:instrText xml:space="preserve"> \* MERGEFORMAT </w:instrText>
      </w:r>
      <w:r w:rsidRPr="00B62920">
        <w:rPr>
          <w:rStyle w:val="sb8d990e2"/>
          <w:color w:val="000000" w:themeColor="text1"/>
          <w:lang w:val="en-GB"/>
        </w:rPr>
      </w:r>
      <w:r w:rsidRPr="00B62920">
        <w:rPr>
          <w:rStyle w:val="sb8d990e2"/>
          <w:color w:val="000000" w:themeColor="text1"/>
          <w:lang w:val="en-GB"/>
        </w:rPr>
        <w:fldChar w:fldCharType="separate"/>
      </w:r>
      <w:r w:rsidR="00B52E51">
        <w:rPr>
          <w:rStyle w:val="sb8d990e2"/>
          <w:color w:val="000000" w:themeColor="text1"/>
          <w:lang w:val="en-GB"/>
        </w:rPr>
        <w:t>74</w:t>
      </w:r>
      <w:r w:rsidRPr="00B62920">
        <w:rPr>
          <w:rStyle w:val="sb8d990e2"/>
          <w:color w:val="000000" w:themeColor="text1"/>
          <w:lang w:val="en-GB"/>
        </w:rPr>
        <w:fldChar w:fldCharType="end"/>
      </w:r>
      <w:r w:rsidRPr="00B62920">
        <w:rPr>
          <w:rStyle w:val="sb8d990e2"/>
          <w:color w:val="000000" w:themeColor="text1"/>
          <w:lang w:val="en-GB"/>
        </w:rPr>
        <w:t xml:space="preserve"> above, § 123). The Panel also records systemic failures such as a deficient system of setting investigative priorities and lack of proper handover. In the great majority of these cases the Panel has found that the investigations were not effective in the meaning of Article 2 and that UNMIK’s failures, which persisted throughout the period of the Panel’s jurisdiction, could not be justified in the light of difficulties encountered by UNMIK at the beginning of its mission.</w:t>
      </w:r>
      <w:bookmarkEnd w:id="107"/>
    </w:p>
    <w:p w:rsidR="003E3F85" w:rsidRPr="00B62920" w:rsidRDefault="003E3F85" w:rsidP="001C2817">
      <w:pPr>
        <w:rPr>
          <w:rStyle w:val="sb8d990e2"/>
          <w:lang w:eastAsia="nl-NL"/>
        </w:rPr>
      </w:pPr>
    </w:p>
    <w:p w:rsidR="003E3F85" w:rsidRPr="00B62920" w:rsidRDefault="003E3F85" w:rsidP="003E3F85">
      <w:pPr>
        <w:pStyle w:val="ListParagraph"/>
        <w:numPr>
          <w:ilvl w:val="0"/>
          <w:numId w:val="7"/>
        </w:numPr>
        <w:contextualSpacing/>
        <w:jc w:val="both"/>
        <w:rPr>
          <w:i/>
          <w:lang w:val="en-GB"/>
        </w:rPr>
      </w:pPr>
      <w:r w:rsidRPr="00B62920">
        <w:rPr>
          <w:i/>
          <w:lang w:val="en-GB"/>
        </w:rPr>
        <w:t>Compliance with Article 2 in the present case</w:t>
      </w:r>
    </w:p>
    <w:p w:rsidR="00874A40" w:rsidRPr="00B62920" w:rsidRDefault="00874A40" w:rsidP="006C6331">
      <w:pPr>
        <w:suppressAutoHyphens/>
        <w:autoSpaceDE w:val="0"/>
        <w:jc w:val="both"/>
      </w:pPr>
    </w:p>
    <w:p w:rsidR="00874A40" w:rsidRPr="00B62920" w:rsidRDefault="00F27755" w:rsidP="00874A40">
      <w:pPr>
        <w:numPr>
          <w:ilvl w:val="0"/>
          <w:numId w:val="2"/>
        </w:numPr>
        <w:suppressAutoHyphens/>
        <w:autoSpaceDE w:val="0"/>
        <w:jc w:val="both"/>
      </w:pPr>
      <w:r w:rsidRPr="00B62920">
        <w:rPr>
          <w:lang w:val="en-GB"/>
        </w:rPr>
        <w:t xml:space="preserve">Turning to the particulars of this case, </w:t>
      </w:r>
      <w:r w:rsidR="00874A40" w:rsidRPr="00B62920">
        <w:t xml:space="preserve">the Panel first addresses the issue of the burden of proof. At the admissibility stage, the Panel was satisfied that the complainants’ allegations were not groundless, thus it accepted the existence of a </w:t>
      </w:r>
      <w:r w:rsidR="00874A40" w:rsidRPr="00B62920">
        <w:rPr>
          <w:i/>
        </w:rPr>
        <w:t>prima facie</w:t>
      </w:r>
      <w:r w:rsidR="00874A40" w:rsidRPr="00B62920">
        <w:t xml:space="preserve"> case: that </w:t>
      </w:r>
      <w:r w:rsidR="00EC2030" w:rsidRPr="00B62920">
        <w:t xml:space="preserve">Mr Duško </w:t>
      </w:r>
      <w:r w:rsidR="00EC2030" w:rsidRPr="00B62920">
        <w:rPr>
          <w:lang w:val="en-GB"/>
        </w:rPr>
        <w:t>Karanović</w:t>
      </w:r>
      <w:r w:rsidR="00EC2030" w:rsidRPr="00B62920">
        <w:t xml:space="preserve"> </w:t>
      </w:r>
      <w:r w:rsidR="00874A40" w:rsidRPr="00B62920">
        <w:t>disappeared in life threatening circumstances and th</w:t>
      </w:r>
      <w:r w:rsidR="00F7589F">
        <w:t>at UNMIK had become aware of his</w:t>
      </w:r>
      <w:r w:rsidR="00874A40" w:rsidRPr="00B62920">
        <w:t xml:space="preserve"> </w:t>
      </w:r>
      <w:r w:rsidR="00CE7998" w:rsidRPr="00B62920">
        <w:t>disappearance</w:t>
      </w:r>
      <w:r w:rsidR="00874A40" w:rsidRPr="00B62920">
        <w:t xml:space="preserve"> at the latest </w:t>
      </w:r>
      <w:r w:rsidR="00EC2030" w:rsidRPr="00B62920">
        <w:rPr>
          <w:lang w:val="en-GB"/>
        </w:rPr>
        <w:t>sometime in 2000</w:t>
      </w:r>
      <w:r w:rsidR="00CE7998" w:rsidRPr="00B62920">
        <w:t xml:space="preserve"> </w:t>
      </w:r>
      <w:r w:rsidR="00874A40" w:rsidRPr="00B62920">
        <w:t xml:space="preserve">(see § </w:t>
      </w:r>
      <w:r w:rsidR="00EC2030" w:rsidRPr="00B62920">
        <w:fldChar w:fldCharType="begin"/>
      </w:r>
      <w:r w:rsidR="00EC2030" w:rsidRPr="00B62920">
        <w:instrText xml:space="preserve"> REF _Ref419724979 \r \h </w:instrText>
      </w:r>
      <w:r w:rsidR="00B62920" w:rsidRPr="00B62920">
        <w:instrText xml:space="preserve"> \* MERGEFORMAT </w:instrText>
      </w:r>
      <w:r w:rsidR="00EC2030" w:rsidRPr="00B62920">
        <w:fldChar w:fldCharType="separate"/>
      </w:r>
      <w:r w:rsidR="00B52E51">
        <w:t>26</w:t>
      </w:r>
      <w:r w:rsidR="00EC2030" w:rsidRPr="00B62920">
        <w:fldChar w:fldCharType="end"/>
      </w:r>
      <w:r w:rsidR="00874A40" w:rsidRPr="00B62920">
        <w:t xml:space="preserve"> above).</w:t>
      </w:r>
    </w:p>
    <w:p w:rsidR="00874A40" w:rsidRPr="00B62920" w:rsidRDefault="00874A40" w:rsidP="00874A40">
      <w:pPr>
        <w:tabs>
          <w:tab w:val="left" w:pos="360"/>
          <w:tab w:val="left" w:pos="5505"/>
        </w:tabs>
        <w:suppressAutoHyphens/>
        <w:autoSpaceDE w:val="0"/>
        <w:ind w:left="360"/>
        <w:jc w:val="both"/>
      </w:pPr>
      <w:r w:rsidRPr="00B62920">
        <w:tab/>
      </w:r>
    </w:p>
    <w:p w:rsidR="00874A40" w:rsidRPr="00B62920" w:rsidRDefault="00874A40" w:rsidP="00874A40">
      <w:pPr>
        <w:numPr>
          <w:ilvl w:val="0"/>
          <w:numId w:val="2"/>
        </w:numPr>
        <w:tabs>
          <w:tab w:val="left" w:pos="360"/>
        </w:tabs>
        <w:suppressAutoHyphens/>
        <w:autoSpaceDE w:val="0"/>
        <w:jc w:val="both"/>
      </w:pPr>
      <w:r w:rsidRPr="00B62920">
        <w:t xml:space="preserve">Accordingly, applying the principles discussed above (see §§ </w:t>
      </w:r>
      <w:r w:rsidRPr="00B62920">
        <w:fldChar w:fldCharType="begin"/>
      </w:r>
      <w:r w:rsidRPr="00B62920">
        <w:instrText xml:space="preserve"> REF _Ref412035639 \r \h </w:instrText>
      </w:r>
      <w:r w:rsidR="00E84F72" w:rsidRPr="00B62920">
        <w:instrText xml:space="preserve"> \* MERGEFORMAT </w:instrText>
      </w:r>
      <w:r w:rsidRPr="00B62920">
        <w:fldChar w:fldCharType="separate"/>
      </w:r>
      <w:r w:rsidR="00B52E51">
        <w:t>63</w:t>
      </w:r>
      <w:r w:rsidRPr="00B62920">
        <w:fldChar w:fldCharType="end"/>
      </w:r>
      <w:r w:rsidRPr="00B62920">
        <w:t>-</w:t>
      </w:r>
      <w:r w:rsidRPr="00B62920">
        <w:fldChar w:fldCharType="begin"/>
      </w:r>
      <w:r w:rsidRPr="00B62920">
        <w:instrText xml:space="preserve"> REF _Ref412035647 \r \h </w:instrText>
      </w:r>
      <w:r w:rsidR="00E84F72" w:rsidRPr="00B62920">
        <w:instrText xml:space="preserve"> \* MERGEFORMAT </w:instrText>
      </w:r>
      <w:r w:rsidRPr="00B62920">
        <w:fldChar w:fldCharType="separate"/>
      </w:r>
      <w:r w:rsidR="00B52E51">
        <w:t>66</w:t>
      </w:r>
      <w:r w:rsidRPr="00B62920">
        <w:fldChar w:fldCharType="end"/>
      </w:r>
      <w:r w:rsidRPr="00B62920">
        <w:t>), the Panel considers that the burden of proof has shifted to the respondent, so that it is for UNMIK to present the Panel with evidence of an adequate investigation as a defence against the allegations put forward by the complainant and accepted by the Panel as admissible. UNMIK has not discharged its obligation in this regard, as it has neither presented a complete investigative file, nor has it in a “satisfactory and convincing” way explained its failure to do so. Accordingly, the Panel will draw inferences from this situation.</w:t>
      </w:r>
    </w:p>
    <w:p w:rsidR="00874A40" w:rsidRPr="00B62920" w:rsidRDefault="00874A40" w:rsidP="00874A40">
      <w:pPr>
        <w:pStyle w:val="ListParagraph"/>
      </w:pPr>
    </w:p>
    <w:p w:rsidR="00874A40" w:rsidRPr="00B62920" w:rsidRDefault="00874A40" w:rsidP="00874A40">
      <w:pPr>
        <w:numPr>
          <w:ilvl w:val="0"/>
          <w:numId w:val="2"/>
        </w:numPr>
        <w:tabs>
          <w:tab w:val="left" w:pos="360"/>
        </w:tabs>
        <w:suppressAutoHyphens/>
        <w:autoSpaceDE w:val="0"/>
        <w:jc w:val="both"/>
      </w:pPr>
      <w:r w:rsidRPr="00B62920">
        <w:t xml:space="preserve">The Panel infers from the limited content of the investigative file that one of the following situations occurred: no investigation was carried out; UNMIK deliberately opted not to present the file to the Panel, despite its obligation to cooperate with the Panel and to provide </w:t>
      </w:r>
      <w:r w:rsidRPr="00B62920">
        <w:lastRenderedPageBreak/>
        <w:t xml:space="preserve">it with the necessary assistance, including the release of documents relevant to the complaints under Section 15 of UNMIK Regulation No. 2006/12 (cited in § </w:t>
      </w:r>
      <w:r w:rsidRPr="00B62920">
        <w:fldChar w:fldCharType="begin"/>
      </w:r>
      <w:r w:rsidRPr="00B62920">
        <w:instrText xml:space="preserve"> REF _Ref414015112 \r \h </w:instrText>
      </w:r>
      <w:r w:rsidR="00E84F72" w:rsidRPr="00B62920">
        <w:instrText xml:space="preserve"> \* MERGEFORMAT </w:instrText>
      </w:r>
      <w:r w:rsidRPr="00B62920">
        <w:fldChar w:fldCharType="separate"/>
      </w:r>
      <w:r w:rsidR="00B52E51">
        <w:t>59</w:t>
      </w:r>
      <w:r w:rsidRPr="00B62920">
        <w:fldChar w:fldCharType="end"/>
      </w:r>
      <w:r w:rsidRPr="00B62920">
        <w:t xml:space="preserve"> above); the file was not properly handed over to EULEX; or UNMIK failed to retrieve the file from the current custodian.</w:t>
      </w:r>
    </w:p>
    <w:p w:rsidR="00874A40" w:rsidRPr="00B62920" w:rsidRDefault="00874A40" w:rsidP="00874A40">
      <w:pPr>
        <w:tabs>
          <w:tab w:val="left" w:pos="360"/>
        </w:tabs>
        <w:suppressAutoHyphens/>
        <w:autoSpaceDE w:val="0"/>
        <w:ind w:left="360"/>
        <w:jc w:val="both"/>
      </w:pPr>
    </w:p>
    <w:p w:rsidR="00874A40" w:rsidRPr="00B62920" w:rsidRDefault="00874A40" w:rsidP="00874A40">
      <w:pPr>
        <w:numPr>
          <w:ilvl w:val="0"/>
          <w:numId w:val="2"/>
        </w:numPr>
        <w:tabs>
          <w:tab w:val="left" w:pos="360"/>
        </w:tabs>
        <w:suppressAutoHyphens/>
        <w:autoSpaceDE w:val="0"/>
        <w:jc w:val="both"/>
      </w:pPr>
      <w:r w:rsidRPr="00B62920">
        <w:t xml:space="preserve">The Panel has already noted above that it has no reason to doubt UNMIK’s good faith in seeking to provide the investigative file for the Panel’s review. The Panel also notes that the SRSG in essence opines that, from the dearth of investigative information available regarding the investigation into the disappearance of </w:t>
      </w:r>
      <w:r w:rsidR="007A0675" w:rsidRPr="00B62920">
        <w:t xml:space="preserve">Mr Duško </w:t>
      </w:r>
      <w:r w:rsidR="007A0675" w:rsidRPr="00B62920">
        <w:rPr>
          <w:lang w:val="en-GB"/>
        </w:rPr>
        <w:t>Karanović</w:t>
      </w:r>
      <w:r w:rsidRPr="00B62920">
        <w:t>, it is not possible to establish whether some apparent gaps in the investigation are attributable to a failure of the relevant offices to pass on and record the information, or rather to a mere lack of investigation. For this reason, he is not in a position to provide comments as to whether UNMIK conducted an effective investigation in this case.</w:t>
      </w:r>
    </w:p>
    <w:p w:rsidR="00874A40" w:rsidRPr="00B62920" w:rsidRDefault="00874A40" w:rsidP="00874A40">
      <w:pPr>
        <w:suppressAutoHyphens/>
        <w:autoSpaceDE w:val="0"/>
        <w:jc w:val="both"/>
      </w:pPr>
    </w:p>
    <w:p w:rsidR="00874A40" w:rsidRPr="00B62920" w:rsidRDefault="00874A40" w:rsidP="00874A40">
      <w:pPr>
        <w:numPr>
          <w:ilvl w:val="0"/>
          <w:numId w:val="2"/>
        </w:numPr>
        <w:tabs>
          <w:tab w:val="left" w:pos="360"/>
        </w:tabs>
        <w:suppressAutoHyphens/>
        <w:autoSpaceDE w:val="0"/>
        <w:jc w:val="both"/>
      </w:pPr>
      <w:r w:rsidRPr="00B62920">
        <w:t>However, the Panel considers that whichever of these potential explanations is applicable, it indicates a failure, which is directly attributable to UNMIK, either when it was exercising its executive functions, or in its current capacity.</w:t>
      </w:r>
    </w:p>
    <w:p w:rsidR="00874A40" w:rsidRPr="00B62920" w:rsidRDefault="00874A40" w:rsidP="00874A40">
      <w:pPr>
        <w:tabs>
          <w:tab w:val="left" w:pos="709"/>
        </w:tabs>
        <w:suppressAutoHyphens/>
        <w:autoSpaceDE w:val="0"/>
        <w:jc w:val="both"/>
        <w:rPr>
          <w:b/>
          <w:i/>
          <w:u w:val="single"/>
          <w:lang w:val="en-GB"/>
        </w:rPr>
      </w:pPr>
    </w:p>
    <w:p w:rsidR="004E4FBD" w:rsidRPr="009D581F" w:rsidRDefault="004E4FBD" w:rsidP="004E4FBD">
      <w:pPr>
        <w:numPr>
          <w:ilvl w:val="0"/>
          <w:numId w:val="2"/>
        </w:numPr>
        <w:tabs>
          <w:tab w:val="left" w:pos="360"/>
        </w:tabs>
        <w:suppressAutoHyphens/>
        <w:autoSpaceDE w:val="0"/>
        <w:jc w:val="both"/>
      </w:pPr>
      <w:r w:rsidRPr="00B62920">
        <w:rPr>
          <w:lang w:val="en-GB"/>
        </w:rPr>
        <w:t xml:space="preserve">The purpose of this investigation was to discover the truth about the circumstances of </w:t>
      </w:r>
      <w:r w:rsidRPr="00B62920">
        <w:t xml:space="preserve">Mr Duško </w:t>
      </w:r>
      <w:r w:rsidRPr="00B62920">
        <w:rPr>
          <w:lang w:val="en-GB"/>
        </w:rPr>
        <w:t>Karanović</w:t>
      </w:r>
      <w:r w:rsidRPr="00B62920">
        <w:t xml:space="preserve">’s </w:t>
      </w:r>
      <w:r w:rsidRPr="00B62920">
        <w:rPr>
          <w:lang w:val="en-GB"/>
        </w:rPr>
        <w:t>disappearance</w:t>
      </w:r>
      <w:r w:rsidR="004F1628" w:rsidRPr="00B62920">
        <w:rPr>
          <w:color w:val="1F497D"/>
          <w:lang w:val="en-GB"/>
        </w:rPr>
        <w:t xml:space="preserve">, </w:t>
      </w:r>
      <w:r w:rsidR="004F1628" w:rsidRPr="009D581F">
        <w:rPr>
          <w:lang w:val="en-GB"/>
        </w:rPr>
        <w:t>establish his</w:t>
      </w:r>
      <w:r w:rsidRPr="009D581F">
        <w:rPr>
          <w:lang w:val="en-GB"/>
        </w:rPr>
        <w:t xml:space="preserve"> fate and to find the perpetrators and bring them before a competent court established by law. To fulfil these purposes, those conducting the investigation were required to seek, collect and preserve all necessary evidence leading to identification of the perpetrator(s).</w:t>
      </w:r>
    </w:p>
    <w:p w:rsidR="00B62920" w:rsidRPr="00B62920" w:rsidRDefault="00B62920" w:rsidP="00B62920">
      <w:pPr>
        <w:pStyle w:val="ListParagraph"/>
      </w:pPr>
    </w:p>
    <w:p w:rsidR="00B62920" w:rsidRPr="00B62920" w:rsidRDefault="00B62920" w:rsidP="003F50C4">
      <w:pPr>
        <w:numPr>
          <w:ilvl w:val="0"/>
          <w:numId w:val="2"/>
        </w:numPr>
        <w:tabs>
          <w:tab w:val="left" w:pos="360"/>
        </w:tabs>
        <w:suppressAutoHyphens/>
        <w:autoSpaceDE w:val="0"/>
        <w:jc w:val="both"/>
        <w:rPr>
          <w:color w:val="000000"/>
          <w:lang w:val="en-GB"/>
        </w:rPr>
      </w:pPr>
      <w:r w:rsidRPr="00B62920">
        <w:rPr>
          <w:bCs/>
          <w:lang w:val="en-GB"/>
        </w:rPr>
        <w:t>The</w:t>
      </w:r>
      <w:r w:rsidRPr="00B62920">
        <w:rPr>
          <w:lang w:val="en-GB"/>
        </w:rPr>
        <w:t xml:space="preserve"> Panel notes that there were obvious shortcomings in the conduct of the investigation from its </w:t>
      </w:r>
      <w:r w:rsidRPr="00B62920">
        <w:rPr>
          <w:lang w:val="en-GB" w:eastAsia="en-GB"/>
        </w:rPr>
        <w:t>commencement</w:t>
      </w:r>
      <w:r w:rsidRPr="00B62920">
        <w:rPr>
          <w:lang w:val="en-GB"/>
        </w:rPr>
        <w:t xml:space="preserve">. However, in light of the considerations developed above concerning its limited temporal jurisdiction (see § </w:t>
      </w:r>
      <w:r w:rsidRPr="00B62920">
        <w:rPr>
          <w:lang w:val="en-GB"/>
        </w:rPr>
        <w:fldChar w:fldCharType="begin"/>
      </w:r>
      <w:r w:rsidRPr="00B62920">
        <w:rPr>
          <w:lang w:val="en-GB"/>
        </w:rPr>
        <w:instrText xml:space="preserve"> REF _Ref346123885 \r \h  \* MERGEFORMAT </w:instrText>
      </w:r>
      <w:r w:rsidRPr="00B62920">
        <w:rPr>
          <w:lang w:val="en-GB"/>
        </w:rPr>
      </w:r>
      <w:r w:rsidRPr="00B62920">
        <w:rPr>
          <w:lang w:val="en-GB"/>
        </w:rPr>
        <w:fldChar w:fldCharType="separate"/>
      </w:r>
      <w:r w:rsidR="00B52E51">
        <w:rPr>
          <w:lang w:val="en-GB"/>
        </w:rPr>
        <w:t>40</w:t>
      </w:r>
      <w:r w:rsidRPr="00B62920">
        <w:rPr>
          <w:lang w:val="en-GB"/>
        </w:rPr>
        <w:fldChar w:fldCharType="end"/>
      </w:r>
      <w:r w:rsidRPr="00B62920">
        <w:rPr>
          <w:lang w:val="en-GB"/>
        </w:rPr>
        <w:t xml:space="preserve"> above), the Panel recalls that it is competent </w:t>
      </w:r>
      <w:r w:rsidRPr="00B62920">
        <w:rPr>
          <w:i/>
          <w:lang w:val="en-GB"/>
        </w:rPr>
        <w:t>ratione temporis</w:t>
      </w:r>
      <w:r w:rsidRPr="00B62920">
        <w:rPr>
          <w:lang w:val="en-GB"/>
        </w:rPr>
        <w:t xml:space="preserve"> to evaluate the compliance of the investigation with Article 2 of the ECHR only for the period after 23 April 2005, while taking into consideration the state of the case at that date (see ECtHR, </w:t>
      </w:r>
      <w:r w:rsidRPr="00B62920">
        <w:rPr>
          <w:i/>
        </w:rPr>
        <w:t>Palić v. Bosnia and Herzegovina,</w:t>
      </w:r>
      <w:r w:rsidRPr="00B62920">
        <w:t xml:space="preserve"> cited in § </w:t>
      </w:r>
      <w:r w:rsidRPr="00B62920">
        <w:fldChar w:fldCharType="begin"/>
      </w:r>
      <w:r w:rsidRPr="00B62920">
        <w:instrText xml:space="preserve"> REF _Ref373950745 \r \h  \* MERGEFORMAT </w:instrText>
      </w:r>
      <w:r w:rsidRPr="00B62920">
        <w:fldChar w:fldCharType="separate"/>
      </w:r>
      <w:r w:rsidR="00B52E51">
        <w:t>74</w:t>
      </w:r>
      <w:r w:rsidRPr="00B62920">
        <w:fldChar w:fldCharType="end"/>
      </w:r>
      <w:r w:rsidRPr="00B62920">
        <w:t xml:space="preserve"> above, at § 70</w:t>
      </w:r>
      <w:r w:rsidRPr="00B62920">
        <w:rPr>
          <w:lang w:val="en-GB"/>
        </w:rPr>
        <w:t xml:space="preserve">). The period under review ends on 9 December 2008, with EULEX taking over responsibility in the area of administration of justice (see § </w:t>
      </w:r>
      <w:r w:rsidRPr="00B62920">
        <w:fldChar w:fldCharType="begin"/>
      </w:r>
      <w:r w:rsidRPr="00B62920">
        <w:rPr>
          <w:lang w:val="en-GB"/>
        </w:rPr>
        <w:instrText xml:space="preserve"> REF _Ref346123927 \r \h </w:instrText>
      </w:r>
      <w:r w:rsidRPr="00B62920">
        <w:instrText xml:space="preserve"> \* MERGEFORMAT </w:instrText>
      </w:r>
      <w:r w:rsidRPr="00B62920">
        <w:fldChar w:fldCharType="separate"/>
      </w:r>
      <w:r w:rsidR="00B52E51">
        <w:rPr>
          <w:lang w:val="en-GB"/>
        </w:rPr>
        <w:t>18</w:t>
      </w:r>
      <w:r w:rsidRPr="00B62920">
        <w:fldChar w:fldCharType="end"/>
      </w:r>
      <w:r w:rsidRPr="00B62920">
        <w:rPr>
          <w:lang w:val="en-GB"/>
        </w:rPr>
        <w:t xml:space="preserve"> above).</w:t>
      </w:r>
    </w:p>
    <w:p w:rsidR="00CF4DD4" w:rsidRPr="00B62920" w:rsidRDefault="00CF4DD4" w:rsidP="00CF4DD4">
      <w:pPr>
        <w:pStyle w:val="ListParagraph"/>
        <w:suppressAutoHyphens w:val="0"/>
        <w:ind w:left="360"/>
        <w:contextualSpacing/>
        <w:jc w:val="both"/>
        <w:rPr>
          <w:lang w:val="en-GB" w:eastAsia="en-US"/>
        </w:rPr>
      </w:pPr>
    </w:p>
    <w:p w:rsidR="00CF4DD4" w:rsidRPr="00B62920" w:rsidRDefault="00CF4DD4" w:rsidP="00CF4DD4">
      <w:pPr>
        <w:numPr>
          <w:ilvl w:val="0"/>
          <w:numId w:val="2"/>
        </w:numPr>
        <w:tabs>
          <w:tab w:val="left" w:pos="709"/>
        </w:tabs>
        <w:suppressAutoHyphens/>
        <w:autoSpaceDE w:val="0"/>
        <w:jc w:val="both"/>
        <w:rPr>
          <w:lang w:val="en-GB" w:eastAsia="en-GB"/>
        </w:rPr>
      </w:pPr>
      <w:r w:rsidRPr="00B62920">
        <w:rPr>
          <w:lang w:val="en-GB" w:eastAsia="en-GB"/>
        </w:rPr>
        <w:t xml:space="preserve">The Panel recalls that in order to be effective, the investigative actions must be conducted promptly and expeditiously, with the authorities taking all reasonable steps and following obvious lines of enquiry to secure the evidence concerning the incident, including, </w:t>
      </w:r>
      <w:r w:rsidRPr="00B62920">
        <w:rPr>
          <w:i/>
          <w:lang w:val="en-GB" w:eastAsia="en-GB"/>
        </w:rPr>
        <w:t>inter alia</w:t>
      </w:r>
      <w:r w:rsidRPr="00B62920">
        <w:rPr>
          <w:lang w:val="en-GB" w:eastAsia="en-GB"/>
        </w:rPr>
        <w:t xml:space="preserve"> eye-witness </w:t>
      </w:r>
      <w:r w:rsidRPr="00B62920">
        <w:rPr>
          <w:lang w:val="en-GB"/>
        </w:rPr>
        <w:t>testimony</w:t>
      </w:r>
      <w:r w:rsidRPr="00B62920">
        <w:rPr>
          <w:lang w:val="en-GB" w:eastAsia="en-GB"/>
        </w:rPr>
        <w:t xml:space="preserve">, forensic evidence etc. The investigation must also ensure a sufficient element of public scrutiny and be reasonably </w:t>
      </w:r>
      <w:r w:rsidRPr="00B62920">
        <w:rPr>
          <w:lang w:val="en-GB"/>
        </w:rPr>
        <w:t>accessible to the victim’s family. T</w:t>
      </w:r>
      <w:r w:rsidRPr="00B62920">
        <w:rPr>
          <w:lang w:val="en-GB" w:eastAsia="en-GB"/>
        </w:rPr>
        <w:t xml:space="preserve">he investigation’s conclusion must be based on thorough, objective and impartial analysis of all relevant elements. In addition, the investigation should be periodically reviewed, in order to ensure that all available information is considered. As the obligation to investigate is not an obligation of results but of means, in assessing the investigation’s effectiveness, the circumstances of the particular case and the practical realities of the investigative work must be taken into consideration </w:t>
      </w:r>
      <w:r w:rsidRPr="00B62920">
        <w:rPr>
          <w:bCs/>
          <w:lang w:val="en-GB"/>
        </w:rPr>
        <w:t xml:space="preserve"> (see §§ </w:t>
      </w:r>
      <w:r w:rsidRPr="00B62920">
        <w:fldChar w:fldCharType="begin"/>
      </w:r>
      <w:r w:rsidRPr="00B62920">
        <w:rPr>
          <w:bCs/>
          <w:lang w:val="en-GB"/>
        </w:rPr>
        <w:instrText xml:space="preserve"> REF _Ref366239979 \r \h </w:instrText>
      </w:r>
      <w:r w:rsidR="00393E7A" w:rsidRPr="00B62920">
        <w:instrText xml:space="preserve"> \* MERGEFORMAT </w:instrText>
      </w:r>
      <w:r w:rsidRPr="00B62920">
        <w:fldChar w:fldCharType="separate"/>
      </w:r>
      <w:r w:rsidR="00B52E51">
        <w:rPr>
          <w:bCs/>
          <w:lang w:val="en-GB"/>
        </w:rPr>
        <w:t>71</w:t>
      </w:r>
      <w:r w:rsidRPr="00B62920">
        <w:fldChar w:fldCharType="end"/>
      </w:r>
      <w:r w:rsidRPr="00B62920">
        <w:rPr>
          <w:bCs/>
          <w:lang w:val="en-GB"/>
        </w:rPr>
        <w:t xml:space="preserve"> - </w:t>
      </w:r>
      <w:r w:rsidRPr="00B62920">
        <w:fldChar w:fldCharType="begin"/>
      </w:r>
      <w:r w:rsidRPr="00B62920">
        <w:rPr>
          <w:bCs/>
          <w:lang w:val="en-GB"/>
        </w:rPr>
        <w:instrText xml:space="preserve"> REF _Ref401245516 \r \h </w:instrText>
      </w:r>
      <w:r w:rsidR="00393E7A" w:rsidRPr="00B62920">
        <w:instrText xml:space="preserve"> \* MERGEFORMAT </w:instrText>
      </w:r>
      <w:r w:rsidRPr="00B62920">
        <w:fldChar w:fldCharType="separate"/>
      </w:r>
      <w:r w:rsidR="00B52E51">
        <w:rPr>
          <w:bCs/>
          <w:lang w:val="en-GB"/>
        </w:rPr>
        <w:t>72</w:t>
      </w:r>
      <w:r w:rsidRPr="00B62920">
        <w:fldChar w:fldCharType="end"/>
      </w:r>
      <w:r w:rsidRPr="00B62920">
        <w:rPr>
          <w:bCs/>
          <w:lang w:val="en-GB"/>
        </w:rPr>
        <w:t xml:space="preserve"> above).</w:t>
      </w:r>
    </w:p>
    <w:p w:rsidR="00CF4DD4" w:rsidRPr="00B62920" w:rsidRDefault="00CF4DD4" w:rsidP="00B33743">
      <w:pPr>
        <w:rPr>
          <w:lang w:val="en-GB"/>
        </w:rPr>
      </w:pPr>
    </w:p>
    <w:p w:rsidR="00CF4DD4" w:rsidRPr="00B62920" w:rsidRDefault="00CF4DD4" w:rsidP="00CF4DD4">
      <w:pPr>
        <w:numPr>
          <w:ilvl w:val="0"/>
          <w:numId w:val="2"/>
        </w:numPr>
        <w:tabs>
          <w:tab w:val="left" w:pos="709"/>
        </w:tabs>
        <w:suppressAutoHyphens/>
        <w:autoSpaceDE w:val="0"/>
        <w:jc w:val="both"/>
      </w:pPr>
      <w:bookmarkStart w:id="108" w:name="_Ref379796585"/>
      <w:r w:rsidRPr="00B62920">
        <w:lastRenderedPageBreak/>
        <w:t xml:space="preserve">The Panel notes in this regard that according to the 2000 Annual Report of UNMIK Police, the complete executive policing powers in the </w:t>
      </w:r>
      <w:r w:rsidR="00D44039" w:rsidRPr="00B62920">
        <w:t>Prizren</w:t>
      </w:r>
      <w:r w:rsidR="00E92DED" w:rsidRPr="00B62920">
        <w:t xml:space="preserve"> region, including criminal investigations, were under the full control of UNMIK Police from</w:t>
      </w:r>
      <w:r w:rsidR="00D44039" w:rsidRPr="00B62920">
        <w:t xml:space="preserve"> 27 October</w:t>
      </w:r>
      <w:r w:rsidR="00E92DED" w:rsidRPr="00B62920">
        <w:t xml:space="preserve"> </w:t>
      </w:r>
      <w:r w:rsidR="00D44039" w:rsidRPr="00B62920">
        <w:t>1999</w:t>
      </w:r>
      <w:r w:rsidRPr="00B62920">
        <w:t xml:space="preserve"> Therefore, it was UNMIK’s responsibility to ensure, </w:t>
      </w:r>
      <w:r w:rsidRPr="00B62920">
        <w:rPr>
          <w:i/>
        </w:rPr>
        <w:t>first</w:t>
      </w:r>
      <w:r w:rsidRPr="00B62920">
        <w:t xml:space="preserve">, that the investigation is conducted expeditiously and efficiently; </w:t>
      </w:r>
      <w:r w:rsidRPr="00B62920">
        <w:rPr>
          <w:i/>
        </w:rPr>
        <w:t>second</w:t>
      </w:r>
      <w:r w:rsidRPr="00B62920">
        <w:t xml:space="preserve">, that all relevant investigative material is properly handed over to the authority </w:t>
      </w:r>
      <w:r w:rsidR="00151A1D" w:rsidRPr="00B62920">
        <w:t>assuming</w:t>
      </w:r>
      <w:r w:rsidRPr="00B62920">
        <w:t xml:space="preserve"> responsibility for the investigation (EULEX); and </w:t>
      </w:r>
      <w:r w:rsidRPr="00B62920">
        <w:rPr>
          <w:i/>
        </w:rPr>
        <w:t>third</w:t>
      </w:r>
      <w:r w:rsidRPr="00B62920">
        <w:t>, that the investigative files could be traced and retrieved, should a need for that arise at any later stage.</w:t>
      </w:r>
      <w:bookmarkEnd w:id="108"/>
    </w:p>
    <w:p w:rsidR="003E3F85" w:rsidRPr="00B62920" w:rsidRDefault="003E3F85" w:rsidP="00375153">
      <w:pPr>
        <w:jc w:val="both"/>
        <w:rPr>
          <w:lang w:val="en-GB"/>
        </w:rPr>
      </w:pPr>
    </w:p>
    <w:p w:rsidR="00445981" w:rsidRPr="00B62920" w:rsidRDefault="00E92DED" w:rsidP="00445981">
      <w:pPr>
        <w:numPr>
          <w:ilvl w:val="0"/>
          <w:numId w:val="2"/>
        </w:numPr>
        <w:tabs>
          <w:tab w:val="left" w:pos="709"/>
        </w:tabs>
        <w:suppressAutoHyphens/>
        <w:autoSpaceDE w:val="0"/>
        <w:jc w:val="both"/>
        <w:rPr>
          <w:lang w:val="en-GB"/>
        </w:rPr>
      </w:pPr>
      <w:r w:rsidRPr="00B62920">
        <w:rPr>
          <w:bCs/>
          <w:lang w:val="en-GB"/>
        </w:rPr>
        <w:t xml:space="preserve">With </w:t>
      </w:r>
      <w:r w:rsidRPr="00B62920">
        <w:rPr>
          <w:lang w:val="en-GB"/>
        </w:rPr>
        <w:t>regard</w:t>
      </w:r>
      <w:r w:rsidRPr="00B62920">
        <w:rPr>
          <w:bCs/>
          <w:lang w:val="en-GB"/>
        </w:rPr>
        <w:t xml:space="preserve"> to the first part of the </w:t>
      </w:r>
      <w:r w:rsidRPr="00B62920">
        <w:rPr>
          <w:lang w:val="en-GB"/>
        </w:rPr>
        <w:t>procedural</w:t>
      </w:r>
      <w:r w:rsidRPr="00B62920">
        <w:rPr>
          <w:bCs/>
          <w:lang w:val="en-GB"/>
        </w:rPr>
        <w:t xml:space="preserve"> obligation, that is, discovering the whereabouts or determining the fate of </w:t>
      </w:r>
      <w:r w:rsidR="007A0675" w:rsidRPr="00B62920">
        <w:t xml:space="preserve">Mr Duško </w:t>
      </w:r>
      <w:r w:rsidR="007A0675" w:rsidRPr="00B62920">
        <w:rPr>
          <w:lang w:val="en-GB"/>
        </w:rPr>
        <w:t>Karanović</w:t>
      </w:r>
      <w:r w:rsidRPr="00B62920">
        <w:rPr>
          <w:lang w:val="en-GB"/>
        </w:rPr>
        <w:t>,</w:t>
      </w:r>
      <w:r w:rsidRPr="00B62920">
        <w:t xml:space="preserve"> the</w:t>
      </w:r>
      <w:r w:rsidRPr="00B62920">
        <w:rPr>
          <w:lang w:val="en-GB"/>
        </w:rPr>
        <w:t xml:space="preserve"> Panel notes that</w:t>
      </w:r>
      <w:r w:rsidR="00643FA0" w:rsidRPr="00B62920">
        <w:rPr>
          <w:lang w:val="en-GB"/>
        </w:rPr>
        <w:t>,</w:t>
      </w:r>
      <w:r w:rsidRPr="00B62920">
        <w:rPr>
          <w:lang w:val="en-GB"/>
        </w:rPr>
        <w:t xml:space="preserve"> as established above, UNMIK became aware of the </w:t>
      </w:r>
      <w:r w:rsidR="00816430" w:rsidRPr="00B62920">
        <w:rPr>
          <w:lang w:val="en-GB"/>
        </w:rPr>
        <w:t xml:space="preserve">disappearance </w:t>
      </w:r>
      <w:r w:rsidRPr="00B62920">
        <w:rPr>
          <w:lang w:val="en-GB"/>
        </w:rPr>
        <w:t xml:space="preserve">of </w:t>
      </w:r>
      <w:r w:rsidR="00D44039" w:rsidRPr="00B62920">
        <w:t xml:space="preserve">Mr Duško </w:t>
      </w:r>
      <w:r w:rsidR="00D44039" w:rsidRPr="00B62920">
        <w:rPr>
          <w:lang w:val="en-GB"/>
        </w:rPr>
        <w:t>Karanović</w:t>
      </w:r>
      <w:r w:rsidR="00D44039" w:rsidRPr="00B62920">
        <w:t xml:space="preserve"> </w:t>
      </w:r>
      <w:r w:rsidR="00816430" w:rsidRPr="00B62920">
        <w:t xml:space="preserve">at the latest </w:t>
      </w:r>
      <w:r w:rsidR="00D44039" w:rsidRPr="00B62920">
        <w:rPr>
          <w:lang w:val="en-GB"/>
        </w:rPr>
        <w:t>sometime in 2000</w:t>
      </w:r>
      <w:r w:rsidR="009A6E2B" w:rsidRPr="00B62920">
        <w:rPr>
          <w:lang w:val="en-GB"/>
        </w:rPr>
        <w:t xml:space="preserve">, </w:t>
      </w:r>
      <w:r w:rsidR="00D44039" w:rsidRPr="00B62920">
        <w:rPr>
          <w:lang w:val="en-GB"/>
        </w:rPr>
        <w:t>as UNMIK MPU opened a missing person file for him then (see §</w:t>
      </w:r>
      <w:r w:rsidR="00D44039" w:rsidRPr="00B62920">
        <w:t xml:space="preserve"> </w:t>
      </w:r>
      <w:r w:rsidR="00D44039" w:rsidRPr="00B62920">
        <w:fldChar w:fldCharType="begin"/>
      </w:r>
      <w:r w:rsidR="00D44039" w:rsidRPr="00B62920">
        <w:instrText xml:space="preserve"> REF _Ref419724979 \r \h </w:instrText>
      </w:r>
      <w:r w:rsidR="007C59FC" w:rsidRPr="00B62920">
        <w:instrText xml:space="preserve"> \* MERGEFORMAT </w:instrText>
      </w:r>
      <w:r w:rsidR="00D44039" w:rsidRPr="00B62920">
        <w:fldChar w:fldCharType="separate"/>
      </w:r>
      <w:r w:rsidR="00B52E51">
        <w:t>26</w:t>
      </w:r>
      <w:r w:rsidR="00D44039" w:rsidRPr="00B62920">
        <w:fldChar w:fldCharType="end"/>
      </w:r>
      <w:r w:rsidR="00D44039" w:rsidRPr="00B62920">
        <w:rPr>
          <w:lang w:val="en-GB"/>
        </w:rPr>
        <w:t xml:space="preserve"> above).</w:t>
      </w:r>
    </w:p>
    <w:p w:rsidR="009A6E2B" w:rsidRPr="00B62920" w:rsidRDefault="009A6E2B" w:rsidP="009A6E2B">
      <w:pPr>
        <w:tabs>
          <w:tab w:val="left" w:pos="709"/>
        </w:tabs>
        <w:suppressAutoHyphens/>
        <w:autoSpaceDE w:val="0"/>
        <w:jc w:val="both"/>
        <w:rPr>
          <w:lang w:val="en-GB"/>
        </w:rPr>
      </w:pPr>
    </w:p>
    <w:p w:rsidR="009D581F" w:rsidRPr="009D581F" w:rsidRDefault="00445981" w:rsidP="009D581F">
      <w:pPr>
        <w:numPr>
          <w:ilvl w:val="0"/>
          <w:numId w:val="2"/>
        </w:numPr>
        <w:tabs>
          <w:tab w:val="left" w:pos="709"/>
        </w:tabs>
        <w:suppressAutoHyphens/>
        <w:autoSpaceDE w:val="0"/>
        <w:jc w:val="both"/>
        <w:rPr>
          <w:lang w:val="en-GB"/>
        </w:rPr>
      </w:pPr>
      <w:r w:rsidRPr="00B62920">
        <w:rPr>
          <w:lang w:val="en-GB"/>
        </w:rPr>
        <w:t xml:space="preserve">The Panel notes that the investigative file shows that </w:t>
      </w:r>
      <w:r w:rsidR="00643FA0" w:rsidRPr="00B62920">
        <w:rPr>
          <w:lang w:val="en-GB"/>
        </w:rPr>
        <w:t>t</w:t>
      </w:r>
      <w:r w:rsidR="001C2817" w:rsidRPr="00B62920">
        <w:t>he only actions taken by the UNMIK Police</w:t>
      </w:r>
      <w:r w:rsidR="00874A40" w:rsidRPr="00B62920">
        <w:t xml:space="preserve"> at that time</w:t>
      </w:r>
      <w:r w:rsidR="001C2817" w:rsidRPr="00B62920">
        <w:t xml:space="preserve"> were the opening of the case under MPU case file no. </w:t>
      </w:r>
      <w:r w:rsidR="0085299E" w:rsidRPr="00B62920">
        <w:rPr>
          <w:lang w:val="en-GB"/>
        </w:rPr>
        <w:t>2000-000281</w:t>
      </w:r>
      <w:r w:rsidR="0090189C" w:rsidRPr="00B62920">
        <w:rPr>
          <w:lang w:val="en-GB"/>
        </w:rPr>
        <w:t>,</w:t>
      </w:r>
      <w:r w:rsidR="001C2817" w:rsidRPr="00B62920">
        <w:t xml:space="preserve"> and the registration of the ante-mortem information received by the ICRC into the MPU database</w:t>
      </w:r>
      <w:r w:rsidR="0090189C" w:rsidRPr="00B62920">
        <w:t xml:space="preserve"> (see § </w:t>
      </w:r>
      <w:r w:rsidR="000F060C" w:rsidRPr="00B62920">
        <w:fldChar w:fldCharType="begin"/>
      </w:r>
      <w:r w:rsidR="000F060C" w:rsidRPr="00B62920">
        <w:instrText xml:space="preserve"> REF _Ref419724979 \r \h </w:instrText>
      </w:r>
      <w:r w:rsidR="00B62920" w:rsidRPr="00B62920">
        <w:instrText xml:space="preserve"> \* MERGEFORMAT </w:instrText>
      </w:r>
      <w:r w:rsidR="000F060C" w:rsidRPr="00B62920">
        <w:fldChar w:fldCharType="separate"/>
      </w:r>
      <w:r w:rsidR="00B52E51">
        <w:t>26</w:t>
      </w:r>
      <w:r w:rsidR="000F060C" w:rsidRPr="00B62920">
        <w:fldChar w:fldCharType="end"/>
      </w:r>
      <w:r w:rsidR="0090189C" w:rsidRPr="00B62920">
        <w:t xml:space="preserve"> above)</w:t>
      </w:r>
      <w:r w:rsidR="001C2817" w:rsidRPr="00B62920">
        <w:t xml:space="preserve">. In this respect, the Panel notes that the collection of the DNA samples is of itself an essential action that secures the necessary material for any future comparative examination and possible identification of located mortal remains. </w:t>
      </w:r>
      <w:r w:rsidR="009D581F" w:rsidRPr="009D581F">
        <w:rPr>
          <w:lang w:val="en-GB"/>
        </w:rPr>
        <w:t>However, according to the relevant entry in the ICMP database, sufficient DNA reference samples that would make identification possible have not been collected (</w:t>
      </w:r>
      <w:r w:rsidR="009D581F">
        <w:rPr>
          <w:iCs/>
          <w:lang w:val="en-GB"/>
        </w:rPr>
        <w:t xml:space="preserve">see § </w:t>
      </w:r>
      <w:r w:rsidR="009D581F">
        <w:rPr>
          <w:iCs/>
          <w:lang w:val="en-GB"/>
        </w:rPr>
        <w:fldChar w:fldCharType="begin"/>
      </w:r>
      <w:r w:rsidR="009D581F">
        <w:rPr>
          <w:iCs/>
          <w:lang w:val="en-GB"/>
        </w:rPr>
        <w:instrText xml:space="preserve"> REF _Ref423091495 \r \h </w:instrText>
      </w:r>
      <w:r w:rsidR="009D581F">
        <w:rPr>
          <w:iCs/>
          <w:lang w:val="en-GB"/>
        </w:rPr>
      </w:r>
      <w:r w:rsidR="009D581F">
        <w:rPr>
          <w:iCs/>
          <w:lang w:val="en-GB"/>
        </w:rPr>
        <w:fldChar w:fldCharType="separate"/>
      </w:r>
      <w:r w:rsidR="00B52E51">
        <w:rPr>
          <w:iCs/>
          <w:lang w:val="en-GB"/>
        </w:rPr>
        <w:t>29</w:t>
      </w:r>
      <w:r w:rsidR="009D581F">
        <w:rPr>
          <w:iCs/>
          <w:lang w:val="en-GB"/>
        </w:rPr>
        <w:fldChar w:fldCharType="end"/>
      </w:r>
      <w:r w:rsidR="009D581F">
        <w:rPr>
          <w:iCs/>
          <w:lang w:val="en-GB"/>
        </w:rPr>
        <w:t xml:space="preserve"> above</w:t>
      </w:r>
      <w:r w:rsidR="009D581F">
        <w:rPr>
          <w:lang w:val="en-GB"/>
        </w:rPr>
        <w:t xml:space="preserve">), 14 years after </w:t>
      </w:r>
      <w:r w:rsidR="009D581F" w:rsidRPr="00B62920">
        <w:t xml:space="preserve">Mr Duško </w:t>
      </w:r>
      <w:r w:rsidR="009D581F" w:rsidRPr="00B62920">
        <w:rPr>
          <w:lang w:val="en-GB"/>
        </w:rPr>
        <w:t>Karanović</w:t>
      </w:r>
      <w:r w:rsidR="009D581F">
        <w:rPr>
          <w:lang w:val="en-GB"/>
        </w:rPr>
        <w:t xml:space="preserve"> disappeared. There is no explanation </w:t>
      </w:r>
      <w:r w:rsidR="009D581F" w:rsidRPr="009D581F">
        <w:rPr>
          <w:lang w:val="en-GB"/>
        </w:rPr>
        <w:t xml:space="preserve">offered by the authorities as to why this has not been done. The Panel further notes that nine years of this period (1999-2008) fall under the period when UNMIK exercised full authority over Kosovo and that the period of inaction starting from 23 April 2005, until the end of UNMIK’s executive mandate in the field of justice, falls within the Panel’s temporal jurisdiction (see § </w:t>
      </w:r>
      <w:r w:rsidR="009D581F" w:rsidRPr="009D581F">
        <w:rPr>
          <w:lang w:val="en-GB"/>
        </w:rPr>
        <w:fldChar w:fldCharType="begin"/>
      </w:r>
      <w:r w:rsidR="009D581F" w:rsidRPr="009D581F">
        <w:rPr>
          <w:lang w:val="en-GB"/>
        </w:rPr>
        <w:instrText xml:space="preserve"> REF _Ref346123885 \r \h  \* MERGEFORMAT </w:instrText>
      </w:r>
      <w:r w:rsidR="009D581F" w:rsidRPr="009D581F">
        <w:rPr>
          <w:lang w:val="en-GB"/>
        </w:rPr>
      </w:r>
      <w:r w:rsidR="009D581F" w:rsidRPr="009D581F">
        <w:rPr>
          <w:lang w:val="en-GB"/>
        </w:rPr>
        <w:fldChar w:fldCharType="separate"/>
      </w:r>
      <w:r w:rsidR="00B52E51">
        <w:rPr>
          <w:lang w:val="en-GB"/>
        </w:rPr>
        <w:t>40</w:t>
      </w:r>
      <w:r w:rsidR="009D581F" w:rsidRPr="009D581F">
        <w:rPr>
          <w:lang w:val="en-GB"/>
        </w:rPr>
        <w:fldChar w:fldCharType="end"/>
      </w:r>
      <w:r w:rsidR="009D581F" w:rsidRPr="009D581F">
        <w:rPr>
          <w:lang w:val="en-GB"/>
        </w:rPr>
        <w:t xml:space="preserve"> above).</w:t>
      </w:r>
    </w:p>
    <w:p w:rsidR="009D581F" w:rsidRDefault="009D581F" w:rsidP="009D581F">
      <w:pPr>
        <w:pStyle w:val="ListParagraph"/>
        <w:rPr>
          <w:lang w:val="en-GB"/>
        </w:rPr>
      </w:pPr>
    </w:p>
    <w:p w:rsidR="009D581F" w:rsidRPr="009D581F" w:rsidRDefault="009D581F" w:rsidP="009D581F">
      <w:pPr>
        <w:numPr>
          <w:ilvl w:val="0"/>
          <w:numId w:val="2"/>
        </w:numPr>
        <w:jc w:val="both"/>
        <w:rPr>
          <w:lang w:val="en-GB"/>
        </w:rPr>
      </w:pPr>
      <w:r>
        <w:rPr>
          <w:lang w:val="en-GB"/>
        </w:rPr>
        <w:t xml:space="preserve">It is widely accepted that the only way to have a certain identification of mortal remains after such a long period of time is through comparison of samples of DNA material. Thus, the collection of sufficient samples from the next-of-kin of a missing person becomes imperative; without this, the chances to establish the identity of mortal remains, if found, are very slim. Therefore, since the on-going failure to collect such samples seriously undermines the possibility of identifying </w:t>
      </w:r>
      <w:r w:rsidRPr="00B62920">
        <w:t xml:space="preserve">Mr Duško </w:t>
      </w:r>
      <w:r w:rsidRPr="00B62920">
        <w:rPr>
          <w:lang w:val="en-GB"/>
        </w:rPr>
        <w:t>Karanović</w:t>
      </w:r>
      <w:r>
        <w:rPr>
          <w:lang w:val="en-GB"/>
        </w:rPr>
        <w:t xml:space="preserve">’s mortal remains (in case they have been or will be found), the Panel considers that the first part of the procedural obligation under Article 2 of the ECHR is not satisfied (compare with the Panel’s approach in the case </w:t>
      </w:r>
      <w:r>
        <w:rPr>
          <w:i/>
          <w:iCs/>
          <w:lang w:val="en-GB"/>
        </w:rPr>
        <w:t>P.S.</w:t>
      </w:r>
      <w:r>
        <w:rPr>
          <w:lang w:val="en-GB"/>
        </w:rPr>
        <w:t>, no. 48/09, opinion of 31 October 2013, § 95).</w:t>
      </w:r>
    </w:p>
    <w:p w:rsidR="007625E5" w:rsidRPr="00B62920" w:rsidRDefault="007625E5" w:rsidP="007625E5">
      <w:pPr>
        <w:autoSpaceDE w:val="0"/>
        <w:jc w:val="both"/>
        <w:rPr>
          <w:lang w:val="en-GB"/>
        </w:rPr>
      </w:pPr>
    </w:p>
    <w:p w:rsidR="00D92178" w:rsidRPr="00B62920" w:rsidRDefault="00D92178" w:rsidP="00D92178">
      <w:pPr>
        <w:pStyle w:val="ListParagraph"/>
        <w:numPr>
          <w:ilvl w:val="0"/>
          <w:numId w:val="2"/>
        </w:numPr>
        <w:tabs>
          <w:tab w:val="clear" w:pos="360"/>
          <w:tab w:val="num" w:pos="450"/>
        </w:tabs>
        <w:autoSpaceDE w:val="0"/>
        <w:ind w:left="450" w:hanging="450"/>
        <w:jc w:val="both"/>
        <w:rPr>
          <w:bCs/>
          <w:lang w:val="en-GB"/>
        </w:rPr>
      </w:pPr>
      <w:r w:rsidRPr="00B62920">
        <w:rPr>
          <w:lang w:val="en-GB"/>
        </w:rPr>
        <w:t>Now the Panel will turn to the investigation carried out by UNMIK Police with the aim of identifying the perpetrator(s) and bringing them to justice, that is, the second element of the procedural obligation under Article 2 of the ECHR.</w:t>
      </w:r>
    </w:p>
    <w:p w:rsidR="00E92DED" w:rsidRPr="00B62920" w:rsidRDefault="00E92DED" w:rsidP="00445981">
      <w:pPr>
        <w:tabs>
          <w:tab w:val="left" w:pos="709"/>
        </w:tabs>
        <w:suppressAutoHyphens/>
        <w:autoSpaceDE w:val="0"/>
        <w:jc w:val="both"/>
        <w:rPr>
          <w:lang w:val="en-GB"/>
        </w:rPr>
      </w:pPr>
    </w:p>
    <w:p w:rsidR="009D581F" w:rsidRPr="009D581F" w:rsidRDefault="009D581F" w:rsidP="009D581F">
      <w:pPr>
        <w:pStyle w:val="ListParagraph"/>
        <w:numPr>
          <w:ilvl w:val="0"/>
          <w:numId w:val="2"/>
        </w:numPr>
        <w:tabs>
          <w:tab w:val="clear" w:pos="360"/>
          <w:tab w:val="num" w:pos="450"/>
        </w:tabs>
        <w:autoSpaceDE w:val="0"/>
        <w:ind w:left="450" w:hanging="450"/>
        <w:jc w:val="both"/>
        <w:rPr>
          <w:lang w:val="en-GB"/>
        </w:rPr>
      </w:pPr>
      <w:r w:rsidRPr="00B62920">
        <w:rPr>
          <w:bCs/>
          <w:lang w:val="en-GB"/>
        </w:rPr>
        <w:t xml:space="preserve">The Panel notes that already by the end of 2000, UNMIK Police possessed some </w:t>
      </w:r>
      <w:r w:rsidRPr="00B62920">
        <w:rPr>
          <w:bCs/>
          <w:color w:val="000000" w:themeColor="text1"/>
          <w:lang w:val="en-GB"/>
        </w:rPr>
        <w:t>information, including a very basic description of the disappearance</w:t>
      </w:r>
      <w:r w:rsidRPr="00B62920">
        <w:rPr>
          <w:lang w:val="en-GB"/>
        </w:rPr>
        <w:t xml:space="preserve"> of </w:t>
      </w:r>
      <w:r w:rsidRPr="00B62920">
        <w:t xml:space="preserve">Mr Duško </w:t>
      </w:r>
      <w:r w:rsidRPr="00B62920">
        <w:rPr>
          <w:lang w:val="en-GB"/>
        </w:rPr>
        <w:t>Karanović</w:t>
      </w:r>
      <w:r w:rsidRPr="00B62920">
        <w:t xml:space="preserve"> as well as </w:t>
      </w:r>
      <w:r w:rsidRPr="00B62920">
        <w:rPr>
          <w:lang w:val="en-GB"/>
        </w:rPr>
        <w:t>the</w:t>
      </w:r>
      <w:r w:rsidRPr="00B62920">
        <w:rPr>
          <w:bCs/>
          <w:color w:val="000000" w:themeColor="text1"/>
          <w:lang w:val="en-GB"/>
        </w:rPr>
        <w:t xml:space="preserve"> </w:t>
      </w:r>
      <w:r w:rsidRPr="00B62920">
        <w:rPr>
          <w:lang w:val="en-GB"/>
        </w:rPr>
        <w:t xml:space="preserve">name, address and telephone number of </w:t>
      </w:r>
      <w:r w:rsidRPr="00B62920">
        <w:t>the complainant</w:t>
      </w:r>
      <w:r w:rsidRPr="00B62920">
        <w:rPr>
          <w:lang w:val="en-GB"/>
        </w:rPr>
        <w:t xml:space="preserve"> in Serbia proper (see § </w:t>
      </w:r>
      <w:r w:rsidRPr="00B62920">
        <w:rPr>
          <w:lang w:val="en-GB"/>
        </w:rPr>
        <w:fldChar w:fldCharType="begin"/>
      </w:r>
      <w:r w:rsidRPr="00B62920">
        <w:rPr>
          <w:lang w:val="en-GB"/>
        </w:rPr>
        <w:instrText xml:space="preserve"> REF _Ref419724979 \r \h  \* MERGEFORMAT </w:instrText>
      </w:r>
      <w:r w:rsidRPr="00B62920">
        <w:rPr>
          <w:lang w:val="en-GB"/>
        </w:rPr>
      </w:r>
      <w:r w:rsidRPr="00B62920">
        <w:rPr>
          <w:lang w:val="en-GB"/>
        </w:rPr>
        <w:fldChar w:fldCharType="separate"/>
      </w:r>
      <w:r w:rsidR="00B52E51">
        <w:rPr>
          <w:lang w:val="en-GB"/>
        </w:rPr>
        <w:t>26</w:t>
      </w:r>
      <w:r w:rsidRPr="00B62920">
        <w:rPr>
          <w:lang w:val="en-GB"/>
        </w:rPr>
        <w:fldChar w:fldCharType="end"/>
      </w:r>
      <w:r w:rsidRPr="00B62920">
        <w:rPr>
          <w:lang w:val="en-GB"/>
        </w:rPr>
        <w:t xml:space="preserve"> above). </w:t>
      </w:r>
      <w:r w:rsidRPr="00B62920">
        <w:rPr>
          <w:color w:val="000000" w:themeColor="text1"/>
          <w:lang w:val="en-GB"/>
        </w:rPr>
        <w:t xml:space="preserve">However, there is no indication in the file that the UNMIK Police contacted, or </w:t>
      </w:r>
      <w:r w:rsidRPr="00B62920">
        <w:rPr>
          <w:color w:val="000000" w:themeColor="text1"/>
          <w:lang w:val="en-GB"/>
        </w:rPr>
        <w:lastRenderedPageBreak/>
        <w:t xml:space="preserve">made any effort to contact the complainant until the WCIU investigators finally contacted her by telephone between 10 December and 24 December 2004 (see § </w:t>
      </w:r>
      <w:r w:rsidRPr="00B62920">
        <w:rPr>
          <w:color w:val="000000" w:themeColor="text1"/>
          <w:lang w:val="en-GB"/>
        </w:rPr>
        <w:fldChar w:fldCharType="begin"/>
      </w:r>
      <w:r w:rsidRPr="00B62920">
        <w:rPr>
          <w:color w:val="000000" w:themeColor="text1"/>
          <w:lang w:val="en-GB"/>
        </w:rPr>
        <w:instrText xml:space="preserve"> REF _Ref420332596 \r \h  \* MERGEFORMAT </w:instrText>
      </w:r>
      <w:r w:rsidRPr="00B62920">
        <w:rPr>
          <w:color w:val="000000" w:themeColor="text1"/>
          <w:lang w:val="en-GB"/>
        </w:rPr>
      </w:r>
      <w:r w:rsidRPr="00B62920">
        <w:rPr>
          <w:color w:val="000000" w:themeColor="text1"/>
          <w:lang w:val="en-GB"/>
        </w:rPr>
        <w:fldChar w:fldCharType="separate"/>
      </w:r>
      <w:r w:rsidR="00B52E51">
        <w:rPr>
          <w:color w:val="000000" w:themeColor="text1"/>
          <w:lang w:val="en-GB"/>
        </w:rPr>
        <w:t>29</w:t>
      </w:r>
      <w:r w:rsidRPr="00B62920">
        <w:rPr>
          <w:color w:val="000000" w:themeColor="text1"/>
          <w:lang w:val="en-GB"/>
        </w:rPr>
        <w:fldChar w:fldCharType="end"/>
      </w:r>
      <w:r w:rsidRPr="00B62920">
        <w:rPr>
          <w:color w:val="000000" w:themeColor="text1"/>
          <w:lang w:val="en-GB"/>
        </w:rPr>
        <w:t xml:space="preserve"> above). </w:t>
      </w:r>
    </w:p>
    <w:p w:rsidR="009D581F" w:rsidRPr="009D581F" w:rsidRDefault="009D581F" w:rsidP="009D581F">
      <w:pPr>
        <w:pStyle w:val="ListParagraph"/>
        <w:rPr>
          <w:color w:val="000000"/>
          <w:lang w:val="en-GB" w:eastAsia="nl-NL"/>
        </w:rPr>
      </w:pPr>
    </w:p>
    <w:p w:rsidR="00E92DED" w:rsidRPr="00B62920" w:rsidRDefault="00E92DED" w:rsidP="00445981">
      <w:pPr>
        <w:pStyle w:val="ListParagraph"/>
        <w:numPr>
          <w:ilvl w:val="0"/>
          <w:numId w:val="2"/>
        </w:numPr>
        <w:tabs>
          <w:tab w:val="clear" w:pos="360"/>
          <w:tab w:val="num" w:pos="450"/>
        </w:tabs>
        <w:autoSpaceDE w:val="0"/>
        <w:ind w:left="450" w:hanging="450"/>
        <w:jc w:val="both"/>
        <w:rPr>
          <w:bCs/>
          <w:lang w:val="en-GB"/>
        </w:rPr>
      </w:pPr>
      <w:r w:rsidRPr="00B62920">
        <w:rPr>
          <w:color w:val="000000"/>
          <w:lang w:val="en-GB" w:eastAsia="nl-NL"/>
        </w:rPr>
        <w:t>The Panel</w:t>
      </w:r>
      <w:r w:rsidR="009D581F">
        <w:rPr>
          <w:color w:val="000000"/>
          <w:lang w:val="en-GB" w:eastAsia="nl-NL"/>
        </w:rPr>
        <w:t xml:space="preserve"> also</w:t>
      </w:r>
      <w:r w:rsidRPr="00B62920">
        <w:rPr>
          <w:color w:val="000000"/>
          <w:lang w:val="en-GB" w:eastAsia="nl-NL"/>
        </w:rPr>
        <w:t xml:space="preserve"> notes that although the investigative files show t</w:t>
      </w:r>
      <w:r w:rsidR="004F1628" w:rsidRPr="00B62920">
        <w:rPr>
          <w:color w:val="000000"/>
          <w:lang w:val="en-GB" w:eastAsia="nl-NL"/>
        </w:rPr>
        <w:t xml:space="preserve">hat the WCIU completed an “Anti </w:t>
      </w:r>
      <w:r w:rsidRPr="00B62920">
        <w:rPr>
          <w:color w:val="000000"/>
          <w:lang w:val="en-GB" w:eastAsia="nl-NL"/>
        </w:rPr>
        <w:t xml:space="preserve">Mortem Investigation Report” in </w:t>
      </w:r>
      <w:r w:rsidR="007625E5" w:rsidRPr="00B62920">
        <w:rPr>
          <w:color w:val="000000"/>
          <w:lang w:val="en-GB" w:eastAsia="nl-NL"/>
        </w:rPr>
        <w:t>December 2004</w:t>
      </w:r>
      <w:r w:rsidRPr="00B62920">
        <w:rPr>
          <w:color w:val="000000"/>
          <w:lang w:val="en-GB" w:eastAsia="nl-NL"/>
        </w:rPr>
        <w:t>, it</w:t>
      </w:r>
      <w:r w:rsidR="001F0511" w:rsidRPr="00B62920">
        <w:rPr>
          <w:color w:val="000000"/>
          <w:lang w:val="en-GB" w:eastAsia="nl-NL"/>
        </w:rPr>
        <w:t xml:space="preserve"> does not appear that even then any</w:t>
      </w:r>
      <w:r w:rsidRPr="00B62920">
        <w:rPr>
          <w:color w:val="000000"/>
          <w:lang w:val="en-GB" w:eastAsia="nl-NL"/>
        </w:rPr>
        <w:t xml:space="preserve"> basic investigative steps were taken by the UN</w:t>
      </w:r>
      <w:r w:rsidR="007625E5" w:rsidRPr="00B62920">
        <w:rPr>
          <w:color w:val="000000"/>
          <w:lang w:val="en-GB" w:eastAsia="nl-NL"/>
        </w:rPr>
        <w:t xml:space="preserve">MIK Police, such as visiting </w:t>
      </w:r>
      <w:r w:rsidR="00822A1E" w:rsidRPr="00B62920">
        <w:t xml:space="preserve">Mr Duško </w:t>
      </w:r>
      <w:r w:rsidR="00822A1E" w:rsidRPr="00B62920">
        <w:rPr>
          <w:lang w:val="en-GB"/>
        </w:rPr>
        <w:t>Karanović</w:t>
      </w:r>
      <w:r w:rsidR="0064761A" w:rsidRPr="00B62920">
        <w:rPr>
          <w:bCs/>
          <w:lang w:val="en-GB"/>
        </w:rPr>
        <w:t>’s</w:t>
      </w:r>
      <w:r w:rsidR="0064761A" w:rsidRPr="00B62920">
        <w:t xml:space="preserve"> </w:t>
      </w:r>
      <w:r w:rsidRPr="00B62920">
        <w:rPr>
          <w:color w:val="000000"/>
          <w:lang w:val="en-GB" w:eastAsia="nl-NL"/>
        </w:rPr>
        <w:t>home</w:t>
      </w:r>
      <w:r w:rsidR="00822A1E" w:rsidRPr="00B62920">
        <w:rPr>
          <w:color w:val="000000"/>
          <w:lang w:val="en-GB" w:eastAsia="nl-NL"/>
        </w:rPr>
        <w:t xml:space="preserve"> in </w:t>
      </w:r>
      <w:r w:rsidR="00822A1E" w:rsidRPr="00B62920">
        <w:t>Suharekë/Suva Reka municipality</w:t>
      </w:r>
      <w:r w:rsidR="00822A1E" w:rsidRPr="00B62920">
        <w:rPr>
          <w:color w:val="000000"/>
          <w:lang w:val="en-GB" w:eastAsia="nl-NL"/>
        </w:rPr>
        <w:t xml:space="preserve"> or the </w:t>
      </w:r>
      <w:r w:rsidR="00822A1E" w:rsidRPr="00B62920">
        <w:t xml:space="preserve">Suharekë/Suva Reka </w:t>
      </w:r>
      <w:r w:rsidR="00822A1E" w:rsidRPr="00B62920">
        <w:rPr>
          <w:color w:val="000000"/>
          <w:lang w:val="en-GB" w:eastAsia="nl-NL"/>
        </w:rPr>
        <w:t>municipal court where he apparently worked as a judge</w:t>
      </w:r>
      <w:r w:rsidRPr="00B62920">
        <w:rPr>
          <w:color w:val="000000"/>
          <w:lang w:val="en-GB" w:eastAsia="nl-NL"/>
        </w:rPr>
        <w:t xml:space="preserve"> </w:t>
      </w:r>
      <w:r w:rsidR="00643FA0" w:rsidRPr="00B62920">
        <w:rPr>
          <w:color w:val="000000"/>
          <w:lang w:val="en-GB" w:eastAsia="nl-NL"/>
        </w:rPr>
        <w:t>(</w:t>
      </w:r>
      <w:r w:rsidRPr="00B62920">
        <w:rPr>
          <w:color w:val="000000"/>
          <w:lang w:val="en-GB" w:eastAsia="nl-NL"/>
        </w:rPr>
        <w:t>to try and better und</w:t>
      </w:r>
      <w:r w:rsidR="007625E5" w:rsidRPr="00B62920">
        <w:rPr>
          <w:color w:val="000000"/>
          <w:lang w:val="en-GB" w:eastAsia="nl-NL"/>
        </w:rPr>
        <w:t>erstand the circumstanc</w:t>
      </w:r>
      <w:r w:rsidR="00822A1E" w:rsidRPr="00B62920">
        <w:rPr>
          <w:color w:val="000000"/>
          <w:lang w:val="en-GB" w:eastAsia="nl-NL"/>
        </w:rPr>
        <w:t>es of his</w:t>
      </w:r>
      <w:r w:rsidR="00643FA0" w:rsidRPr="00B62920">
        <w:rPr>
          <w:color w:val="000000"/>
          <w:lang w:val="en-GB" w:eastAsia="nl-NL"/>
        </w:rPr>
        <w:t xml:space="preserve"> disappearance),</w:t>
      </w:r>
      <w:r w:rsidRPr="00B62920">
        <w:rPr>
          <w:color w:val="000000"/>
          <w:lang w:val="en-GB" w:eastAsia="nl-NL"/>
        </w:rPr>
        <w:t xml:space="preserve"> or identifying and interviewing individuals residing at or located in the area (“canvassing” the area)</w:t>
      </w:r>
      <w:r w:rsidR="00713D84" w:rsidRPr="00B62920">
        <w:rPr>
          <w:color w:val="000000"/>
          <w:lang w:val="en-GB" w:eastAsia="nl-NL"/>
        </w:rPr>
        <w:t xml:space="preserve">. </w:t>
      </w:r>
      <w:r w:rsidRPr="00B62920">
        <w:rPr>
          <w:color w:val="000000" w:themeColor="text1"/>
          <w:lang w:val="en-GB"/>
        </w:rPr>
        <w:t xml:space="preserve">The </w:t>
      </w:r>
      <w:r w:rsidRPr="00B62920">
        <w:rPr>
          <w:lang w:val="en-GB"/>
        </w:rPr>
        <w:t>Panel</w:t>
      </w:r>
      <w:r w:rsidRPr="00B62920">
        <w:rPr>
          <w:color w:val="000000" w:themeColor="text1"/>
          <w:lang w:val="en-GB"/>
        </w:rPr>
        <w:t xml:space="preserve"> notes that the documents do not show </w:t>
      </w:r>
      <w:r w:rsidR="004F1628" w:rsidRPr="00B62920">
        <w:rPr>
          <w:color w:val="000000" w:themeColor="text1"/>
          <w:lang w:val="en-GB"/>
        </w:rPr>
        <w:t>any</w:t>
      </w:r>
      <w:r w:rsidRPr="00B62920">
        <w:rPr>
          <w:color w:val="000000" w:themeColor="text1"/>
          <w:lang w:val="en-GB"/>
        </w:rPr>
        <w:t xml:space="preserve"> further information about </w:t>
      </w:r>
      <w:r w:rsidR="00822A1E" w:rsidRPr="00B62920">
        <w:t xml:space="preserve">Mr Duško </w:t>
      </w:r>
      <w:r w:rsidR="00822A1E" w:rsidRPr="00B62920">
        <w:rPr>
          <w:lang w:val="en-GB"/>
        </w:rPr>
        <w:t>Karanović</w:t>
      </w:r>
      <w:r w:rsidR="009A6E2B" w:rsidRPr="00B62920">
        <w:t xml:space="preserve">’s </w:t>
      </w:r>
      <w:r w:rsidR="00822A1E" w:rsidRPr="00B62920">
        <w:t>disappearance</w:t>
      </w:r>
      <w:r w:rsidRPr="00B62920">
        <w:rPr>
          <w:color w:val="000000" w:themeColor="text1"/>
          <w:lang w:val="en-GB"/>
        </w:rPr>
        <w:t xml:space="preserve"> than what UNMIK</w:t>
      </w:r>
      <w:r w:rsidR="007625E5" w:rsidRPr="00B62920">
        <w:rPr>
          <w:color w:val="000000" w:themeColor="text1"/>
          <w:lang w:val="en-GB"/>
        </w:rPr>
        <w:t xml:space="preserve"> MP</w:t>
      </w:r>
      <w:r w:rsidR="00822A1E" w:rsidRPr="00B62920">
        <w:rPr>
          <w:color w:val="000000" w:themeColor="text1"/>
          <w:lang w:val="en-GB"/>
        </w:rPr>
        <w:t>U knew about the case in 2000</w:t>
      </w:r>
      <w:r w:rsidRPr="00B62920">
        <w:rPr>
          <w:color w:val="000000" w:themeColor="text1"/>
          <w:lang w:val="en-GB"/>
        </w:rPr>
        <w:t xml:space="preserve">; </w:t>
      </w:r>
      <w:r w:rsidR="0038766F" w:rsidRPr="00B62920">
        <w:rPr>
          <w:color w:val="000000" w:themeColor="text1"/>
          <w:lang w:val="en-GB"/>
        </w:rPr>
        <w:t xml:space="preserve">except for contacting the complainant by telephone (see § </w:t>
      </w:r>
      <w:r w:rsidR="0038766F" w:rsidRPr="00B62920">
        <w:rPr>
          <w:color w:val="000000" w:themeColor="text1"/>
          <w:lang w:val="en-GB"/>
        </w:rPr>
        <w:fldChar w:fldCharType="begin"/>
      </w:r>
      <w:r w:rsidR="0038766F" w:rsidRPr="00B62920">
        <w:rPr>
          <w:color w:val="000000" w:themeColor="text1"/>
          <w:lang w:val="en-GB"/>
        </w:rPr>
        <w:instrText xml:space="preserve"> REF _Ref419725480 \r \h </w:instrText>
      </w:r>
      <w:r w:rsidR="007C59FC" w:rsidRPr="00B62920">
        <w:rPr>
          <w:color w:val="000000" w:themeColor="text1"/>
          <w:lang w:val="en-GB"/>
        </w:rPr>
        <w:instrText xml:space="preserve"> \* MERGEFORMAT </w:instrText>
      </w:r>
      <w:r w:rsidR="0038766F" w:rsidRPr="00B62920">
        <w:rPr>
          <w:color w:val="000000" w:themeColor="text1"/>
          <w:lang w:val="en-GB"/>
        </w:rPr>
      </w:r>
      <w:r w:rsidR="0038766F" w:rsidRPr="00B62920">
        <w:rPr>
          <w:color w:val="000000" w:themeColor="text1"/>
          <w:lang w:val="en-GB"/>
        </w:rPr>
        <w:fldChar w:fldCharType="separate"/>
      </w:r>
      <w:r w:rsidR="00B52E51">
        <w:rPr>
          <w:color w:val="000000" w:themeColor="text1"/>
          <w:lang w:val="en-GB"/>
        </w:rPr>
        <w:t>29</w:t>
      </w:r>
      <w:r w:rsidR="0038766F" w:rsidRPr="00B62920">
        <w:rPr>
          <w:color w:val="000000" w:themeColor="text1"/>
          <w:lang w:val="en-GB"/>
        </w:rPr>
        <w:fldChar w:fldCharType="end"/>
      </w:r>
      <w:r w:rsidR="0038766F" w:rsidRPr="00B62920">
        <w:rPr>
          <w:color w:val="000000" w:themeColor="text1"/>
          <w:lang w:val="en-GB"/>
        </w:rPr>
        <w:t xml:space="preserve"> above)</w:t>
      </w:r>
      <w:r w:rsidR="000F060C" w:rsidRPr="00B62920">
        <w:rPr>
          <w:color w:val="000000" w:themeColor="text1"/>
          <w:lang w:val="en-GB"/>
        </w:rPr>
        <w:t>,</w:t>
      </w:r>
      <w:r w:rsidR="0038766F" w:rsidRPr="00B62920">
        <w:rPr>
          <w:color w:val="000000" w:themeColor="text1"/>
          <w:lang w:val="en-GB"/>
        </w:rPr>
        <w:t xml:space="preserve"> </w:t>
      </w:r>
      <w:r w:rsidR="00643FA0" w:rsidRPr="00B62920">
        <w:rPr>
          <w:color w:val="000000" w:themeColor="text1"/>
          <w:lang w:val="en-GB"/>
        </w:rPr>
        <w:t>it does not appear that WCIU has</w:t>
      </w:r>
      <w:r w:rsidR="004F1628" w:rsidRPr="00B62920">
        <w:rPr>
          <w:color w:val="000000" w:themeColor="text1"/>
          <w:lang w:val="en-GB"/>
        </w:rPr>
        <w:t xml:space="preserve"> undertaken any</w:t>
      </w:r>
      <w:r w:rsidR="00643FA0" w:rsidRPr="00B62920">
        <w:rPr>
          <w:color w:val="000000" w:themeColor="text1"/>
          <w:lang w:val="en-GB"/>
        </w:rPr>
        <w:t xml:space="preserve"> investigative</w:t>
      </w:r>
      <w:r w:rsidR="004F1628" w:rsidRPr="00B62920">
        <w:rPr>
          <w:color w:val="000000" w:themeColor="text1"/>
          <w:lang w:val="en-GB"/>
        </w:rPr>
        <w:t xml:space="preserve"> action</w:t>
      </w:r>
      <w:r w:rsidRPr="00B62920">
        <w:rPr>
          <w:color w:val="000000" w:themeColor="text1"/>
          <w:lang w:val="en-GB"/>
        </w:rPr>
        <w:t xml:space="preserve"> since that time. </w:t>
      </w:r>
      <w:r w:rsidR="00AA7E95" w:rsidRPr="00B62920">
        <w:rPr>
          <w:color w:val="000000" w:themeColor="text1"/>
          <w:lang w:val="en-GB"/>
        </w:rPr>
        <w:t xml:space="preserve">The Panel notes with concern that the information that MPU officers reportedly learned from the internet in December 2001, specifically, that </w:t>
      </w:r>
      <w:r w:rsidR="00AA7E95" w:rsidRPr="00B62920">
        <w:rPr>
          <w:lang w:val="en-GB"/>
        </w:rPr>
        <w:t xml:space="preserve">“Mr. Karanović and his wife Snezana were killed and that bodies were found” (see § </w:t>
      </w:r>
      <w:r w:rsidR="00AA7E95" w:rsidRPr="00B62920">
        <w:rPr>
          <w:lang w:val="en-GB"/>
        </w:rPr>
        <w:fldChar w:fldCharType="begin"/>
      </w:r>
      <w:r w:rsidR="00AA7E95" w:rsidRPr="00B62920">
        <w:rPr>
          <w:lang w:val="en-GB"/>
        </w:rPr>
        <w:instrText xml:space="preserve"> REF _Ref422824088 \r \h </w:instrText>
      </w:r>
      <w:r w:rsidR="00B62920" w:rsidRPr="00B62920">
        <w:rPr>
          <w:lang w:val="en-GB"/>
        </w:rPr>
        <w:instrText xml:space="preserve"> \* MERGEFORMAT </w:instrText>
      </w:r>
      <w:r w:rsidR="00AA7E95" w:rsidRPr="00B62920">
        <w:rPr>
          <w:lang w:val="en-GB"/>
        </w:rPr>
      </w:r>
      <w:r w:rsidR="00AA7E95" w:rsidRPr="00B62920">
        <w:rPr>
          <w:lang w:val="en-GB"/>
        </w:rPr>
        <w:fldChar w:fldCharType="separate"/>
      </w:r>
      <w:r w:rsidR="00B52E51">
        <w:rPr>
          <w:lang w:val="en-GB"/>
        </w:rPr>
        <w:t>27</w:t>
      </w:r>
      <w:r w:rsidR="00AA7E95" w:rsidRPr="00B62920">
        <w:rPr>
          <w:lang w:val="en-GB"/>
        </w:rPr>
        <w:fldChar w:fldCharType="end"/>
      </w:r>
      <w:r w:rsidR="00AA7E95" w:rsidRPr="00B62920">
        <w:rPr>
          <w:lang w:val="en-GB"/>
        </w:rPr>
        <w:t xml:space="preserve"> above) was apparently never followed up.</w:t>
      </w:r>
      <w:r w:rsidR="00AA7E95" w:rsidRPr="00B62920">
        <w:rPr>
          <w:color w:val="000000" w:themeColor="text1"/>
          <w:lang w:val="en-GB"/>
        </w:rPr>
        <w:t xml:space="preserve"> </w:t>
      </w:r>
    </w:p>
    <w:p w:rsidR="0064761A" w:rsidRPr="00B62920" w:rsidRDefault="0064761A" w:rsidP="0064761A">
      <w:pPr>
        <w:pStyle w:val="ListParagraph"/>
        <w:rPr>
          <w:bCs/>
          <w:lang w:val="en-GB"/>
        </w:rPr>
      </w:pPr>
    </w:p>
    <w:p w:rsidR="00B62920" w:rsidRPr="00B62920" w:rsidRDefault="0064761A" w:rsidP="00B62920">
      <w:pPr>
        <w:numPr>
          <w:ilvl w:val="0"/>
          <w:numId w:val="2"/>
        </w:numPr>
        <w:tabs>
          <w:tab w:val="clear" w:pos="360"/>
          <w:tab w:val="num" w:pos="426"/>
          <w:tab w:val="left" w:pos="709"/>
        </w:tabs>
        <w:suppressAutoHyphens/>
        <w:autoSpaceDE w:val="0"/>
        <w:ind w:left="450" w:hanging="450"/>
        <w:jc w:val="both"/>
        <w:rPr>
          <w:b/>
        </w:rPr>
      </w:pPr>
      <w:r w:rsidRPr="00B62920">
        <w:rPr>
          <w:lang w:val="en-GB"/>
        </w:rPr>
        <w:t>Additionally, the Panel notes that althoug</w:t>
      </w:r>
      <w:r w:rsidR="007A78E3" w:rsidRPr="00B62920">
        <w:rPr>
          <w:lang w:val="en-GB"/>
        </w:rPr>
        <w:t>h the file contained the names of</w:t>
      </w:r>
      <w:r w:rsidR="00D351CA" w:rsidRPr="00B62920">
        <w:rPr>
          <w:lang w:val="en-GB"/>
        </w:rPr>
        <w:t xml:space="preserve"> two</w:t>
      </w:r>
      <w:r w:rsidR="0056658D" w:rsidRPr="00B62920">
        <w:rPr>
          <w:lang w:val="en-GB"/>
        </w:rPr>
        <w:t xml:space="preserve"> potential witness</w:t>
      </w:r>
      <w:r w:rsidR="00D351CA" w:rsidRPr="00B62920">
        <w:rPr>
          <w:lang w:val="en-GB"/>
        </w:rPr>
        <w:t xml:space="preserve">es, </w:t>
      </w:r>
      <w:r w:rsidR="007A78E3" w:rsidRPr="00B62920">
        <w:rPr>
          <w:lang w:val="en-GB"/>
        </w:rPr>
        <w:t xml:space="preserve">a neighbour, </w:t>
      </w:r>
      <w:r w:rsidR="00D351CA" w:rsidRPr="00B62920">
        <w:rPr>
          <w:lang w:val="en-GB"/>
        </w:rPr>
        <w:t>V.P., and</w:t>
      </w:r>
      <w:r w:rsidR="007A78E3" w:rsidRPr="00B62920">
        <w:rPr>
          <w:lang w:val="en-GB"/>
        </w:rPr>
        <w:t xml:space="preserve"> a relative,</w:t>
      </w:r>
      <w:r w:rsidR="00D351CA" w:rsidRPr="00B62920">
        <w:rPr>
          <w:lang w:val="en-GB"/>
        </w:rPr>
        <w:t xml:space="preserve"> Mrs L.B.</w:t>
      </w:r>
      <w:r w:rsidR="007A78E3" w:rsidRPr="00B62920">
        <w:rPr>
          <w:lang w:val="en-GB"/>
        </w:rPr>
        <w:t xml:space="preserve"> (see §§ </w:t>
      </w:r>
      <w:r w:rsidR="007A78E3" w:rsidRPr="00B62920">
        <w:rPr>
          <w:lang w:val="en-GB"/>
        </w:rPr>
        <w:fldChar w:fldCharType="begin"/>
      </w:r>
      <w:r w:rsidR="007A78E3" w:rsidRPr="00B62920">
        <w:rPr>
          <w:lang w:val="en-GB"/>
        </w:rPr>
        <w:instrText xml:space="preserve"> REF _Ref420334103 \r \h </w:instrText>
      </w:r>
      <w:r w:rsidR="007C59FC" w:rsidRPr="00B62920">
        <w:rPr>
          <w:lang w:val="en-GB"/>
        </w:rPr>
        <w:instrText xml:space="preserve"> \* MERGEFORMAT </w:instrText>
      </w:r>
      <w:r w:rsidR="007A78E3" w:rsidRPr="00B62920">
        <w:rPr>
          <w:lang w:val="en-GB"/>
        </w:rPr>
      </w:r>
      <w:r w:rsidR="007A78E3" w:rsidRPr="00B62920">
        <w:rPr>
          <w:lang w:val="en-GB"/>
        </w:rPr>
        <w:fldChar w:fldCharType="separate"/>
      </w:r>
      <w:r w:rsidR="00B52E51">
        <w:rPr>
          <w:lang w:val="en-GB"/>
        </w:rPr>
        <w:t>28</w:t>
      </w:r>
      <w:r w:rsidR="007A78E3" w:rsidRPr="00B62920">
        <w:rPr>
          <w:lang w:val="en-GB"/>
        </w:rPr>
        <w:fldChar w:fldCharType="end"/>
      </w:r>
      <w:r w:rsidR="007A78E3" w:rsidRPr="00B62920">
        <w:rPr>
          <w:lang w:val="en-GB"/>
        </w:rPr>
        <w:t xml:space="preserve"> and </w:t>
      </w:r>
      <w:r w:rsidR="007A78E3" w:rsidRPr="00B62920">
        <w:rPr>
          <w:lang w:val="en-GB"/>
        </w:rPr>
        <w:fldChar w:fldCharType="begin"/>
      </w:r>
      <w:r w:rsidR="007A78E3" w:rsidRPr="00B62920">
        <w:rPr>
          <w:lang w:val="en-GB"/>
        </w:rPr>
        <w:instrText xml:space="preserve"> REF _Ref420334112 \r \h </w:instrText>
      </w:r>
      <w:r w:rsidR="007C59FC" w:rsidRPr="00B62920">
        <w:rPr>
          <w:lang w:val="en-GB"/>
        </w:rPr>
        <w:instrText xml:space="preserve"> \* MERGEFORMAT </w:instrText>
      </w:r>
      <w:r w:rsidR="007A78E3" w:rsidRPr="00B62920">
        <w:rPr>
          <w:lang w:val="en-GB"/>
        </w:rPr>
      </w:r>
      <w:r w:rsidR="007A78E3" w:rsidRPr="00B62920">
        <w:rPr>
          <w:lang w:val="en-GB"/>
        </w:rPr>
        <w:fldChar w:fldCharType="separate"/>
      </w:r>
      <w:r w:rsidR="00B52E51">
        <w:rPr>
          <w:lang w:val="en-GB"/>
        </w:rPr>
        <w:t>31</w:t>
      </w:r>
      <w:r w:rsidR="007A78E3" w:rsidRPr="00B62920">
        <w:rPr>
          <w:lang w:val="en-GB"/>
        </w:rPr>
        <w:fldChar w:fldCharType="end"/>
      </w:r>
      <w:r w:rsidR="007A78E3" w:rsidRPr="00B62920">
        <w:rPr>
          <w:lang w:val="en-GB"/>
        </w:rPr>
        <w:t xml:space="preserve"> above)</w:t>
      </w:r>
      <w:r w:rsidR="00D351CA" w:rsidRPr="00B62920">
        <w:rPr>
          <w:lang w:val="en-GB"/>
        </w:rPr>
        <w:t xml:space="preserve">, </w:t>
      </w:r>
      <w:r w:rsidRPr="00B62920">
        <w:rPr>
          <w:lang w:val="en-GB"/>
        </w:rPr>
        <w:t xml:space="preserve">the MPU investigator reviewing the file in 2004 stated that </w:t>
      </w:r>
      <w:r w:rsidR="0056658D" w:rsidRPr="00B62920">
        <w:rPr>
          <w:lang w:val="en-GB"/>
        </w:rPr>
        <w:t>there was no</w:t>
      </w:r>
      <w:r w:rsidR="00D351CA" w:rsidRPr="00B62920">
        <w:rPr>
          <w:lang w:val="en-GB"/>
        </w:rPr>
        <w:t xml:space="preserve"> further</w:t>
      </w:r>
      <w:r w:rsidR="0056658D" w:rsidRPr="00B62920">
        <w:rPr>
          <w:lang w:val="en-GB"/>
        </w:rPr>
        <w:t xml:space="preserve"> information </w:t>
      </w:r>
      <w:r w:rsidR="00D351CA" w:rsidRPr="00B62920">
        <w:rPr>
          <w:lang w:val="en-GB"/>
        </w:rPr>
        <w:t>available at that time. He</w:t>
      </w:r>
      <w:r w:rsidRPr="00B62920">
        <w:rPr>
          <w:lang w:val="en-GB"/>
        </w:rPr>
        <w:t xml:space="preserve"> further added that “[a]fter investigations, it’s impossible at this time to find an impartial witness” (see § </w:t>
      </w:r>
      <w:r w:rsidR="00D351CA" w:rsidRPr="00B62920">
        <w:rPr>
          <w:lang w:val="en-GB"/>
        </w:rPr>
        <w:fldChar w:fldCharType="begin"/>
      </w:r>
      <w:r w:rsidR="00D351CA" w:rsidRPr="00B62920">
        <w:rPr>
          <w:lang w:val="en-GB"/>
        </w:rPr>
        <w:instrText xml:space="preserve"> REF _Ref420332596 \r \h </w:instrText>
      </w:r>
      <w:r w:rsidR="007C59FC" w:rsidRPr="00B62920">
        <w:rPr>
          <w:lang w:val="en-GB"/>
        </w:rPr>
        <w:instrText xml:space="preserve"> \* MERGEFORMAT </w:instrText>
      </w:r>
      <w:r w:rsidR="00D351CA" w:rsidRPr="00B62920">
        <w:rPr>
          <w:lang w:val="en-GB"/>
        </w:rPr>
      </w:r>
      <w:r w:rsidR="00D351CA" w:rsidRPr="00B62920">
        <w:rPr>
          <w:lang w:val="en-GB"/>
        </w:rPr>
        <w:fldChar w:fldCharType="separate"/>
      </w:r>
      <w:r w:rsidR="00B52E51">
        <w:rPr>
          <w:lang w:val="en-GB"/>
        </w:rPr>
        <w:t>29</w:t>
      </w:r>
      <w:r w:rsidR="00D351CA" w:rsidRPr="00B62920">
        <w:rPr>
          <w:lang w:val="en-GB"/>
        </w:rPr>
        <w:fldChar w:fldCharType="end"/>
      </w:r>
      <w:r w:rsidR="0056658D" w:rsidRPr="00B62920">
        <w:rPr>
          <w:lang w:val="en-GB"/>
        </w:rPr>
        <w:t xml:space="preserve"> </w:t>
      </w:r>
      <w:r w:rsidRPr="00B62920">
        <w:rPr>
          <w:lang w:val="en-GB"/>
        </w:rPr>
        <w:t xml:space="preserve">above). The Panel is concerned by this conclusion, as </w:t>
      </w:r>
      <w:r w:rsidR="00D351CA" w:rsidRPr="00B62920">
        <w:rPr>
          <w:lang w:val="en-GB"/>
        </w:rPr>
        <w:t xml:space="preserve">apparently </w:t>
      </w:r>
      <w:r w:rsidR="0056658D" w:rsidRPr="00B62920">
        <w:rPr>
          <w:lang w:val="en-GB"/>
        </w:rPr>
        <w:t>no actions to</w:t>
      </w:r>
      <w:r w:rsidR="00D351CA" w:rsidRPr="00B62920">
        <w:rPr>
          <w:lang w:val="en-GB"/>
        </w:rPr>
        <w:t xml:space="preserve"> locate these two named witnesses or to find any other</w:t>
      </w:r>
      <w:r w:rsidR="0056658D" w:rsidRPr="00B62920">
        <w:rPr>
          <w:lang w:val="en-GB"/>
        </w:rPr>
        <w:t xml:space="preserve"> witnesses</w:t>
      </w:r>
      <w:r w:rsidRPr="00B62920">
        <w:rPr>
          <w:lang w:val="en-GB"/>
        </w:rPr>
        <w:t xml:space="preserve"> (except for making a telephone call to the complainant) were undertaken. Likewise, the Panel deems that the “impartiality” of any witness cannot be established prior to identifying him or her.</w:t>
      </w:r>
      <w:r w:rsidR="006C6331" w:rsidRPr="00B62920">
        <w:rPr>
          <w:lang w:val="en-GB"/>
        </w:rPr>
        <w:t xml:space="preserve"> </w:t>
      </w:r>
      <w:r w:rsidR="00B62920" w:rsidRPr="00B62920">
        <w:rPr>
          <w:lang w:val="en-GB"/>
        </w:rPr>
        <w:t>Furthermore, even a witness deemed partial may have valuable information to convey.</w:t>
      </w:r>
    </w:p>
    <w:p w:rsidR="00E92DED" w:rsidRPr="00B62920" w:rsidRDefault="00E92DED" w:rsidP="00B62920">
      <w:pPr>
        <w:tabs>
          <w:tab w:val="left" w:pos="709"/>
        </w:tabs>
        <w:suppressAutoHyphens/>
        <w:autoSpaceDE w:val="0"/>
        <w:ind w:left="450"/>
        <w:jc w:val="both"/>
        <w:rPr>
          <w:lang w:val="en-GB"/>
        </w:rPr>
      </w:pPr>
    </w:p>
    <w:p w:rsidR="00E92DED" w:rsidRPr="00B62920" w:rsidRDefault="00E92DED" w:rsidP="00445981">
      <w:pPr>
        <w:pStyle w:val="ListParagraph"/>
        <w:numPr>
          <w:ilvl w:val="0"/>
          <w:numId w:val="2"/>
        </w:numPr>
        <w:tabs>
          <w:tab w:val="clear" w:pos="360"/>
          <w:tab w:val="num" w:pos="450"/>
        </w:tabs>
        <w:autoSpaceDE w:val="0"/>
        <w:ind w:left="450" w:hanging="450"/>
        <w:jc w:val="both"/>
        <w:rPr>
          <w:bCs/>
          <w:lang w:val="en-GB"/>
        </w:rPr>
      </w:pPr>
      <w:r w:rsidRPr="00B62920">
        <w:rPr>
          <w:bCs/>
          <w:lang w:val="en-GB"/>
        </w:rPr>
        <w:t xml:space="preserve">The </w:t>
      </w:r>
      <w:r w:rsidRPr="00B62920">
        <w:rPr>
          <w:lang w:val="en-GB"/>
        </w:rPr>
        <w:t>Panel</w:t>
      </w:r>
      <w:r w:rsidRPr="00B62920">
        <w:rPr>
          <w:bCs/>
          <w:lang w:val="en-GB"/>
        </w:rPr>
        <w:t xml:space="preserve"> likewise recall</w:t>
      </w:r>
      <w:r w:rsidR="00874A40" w:rsidRPr="00B62920">
        <w:rPr>
          <w:bCs/>
          <w:lang w:val="en-GB"/>
        </w:rPr>
        <w:t xml:space="preserve">s the SRSG’s argument that </w:t>
      </w:r>
      <w:r w:rsidR="001F22FD" w:rsidRPr="00B62920">
        <w:t>“</w:t>
      </w:r>
      <w:r w:rsidR="007A78E3" w:rsidRPr="00B62920">
        <w:rPr>
          <w:lang w:val="en-GB"/>
        </w:rPr>
        <w:t>that there were no witnesses available and that the case required more investigation presumably, if any leads came to light</w:t>
      </w:r>
      <w:r w:rsidRPr="00B62920">
        <w:t xml:space="preserve">” (see § </w:t>
      </w:r>
      <w:r w:rsidR="007A78E3" w:rsidRPr="00B62920">
        <w:fldChar w:fldCharType="begin"/>
      </w:r>
      <w:r w:rsidR="007A78E3" w:rsidRPr="00B62920">
        <w:instrText xml:space="preserve"> REF _Ref420326925 \r \h </w:instrText>
      </w:r>
      <w:r w:rsidR="00B62920" w:rsidRPr="00B62920">
        <w:instrText xml:space="preserve"> \* MERGEFORMAT </w:instrText>
      </w:r>
      <w:r w:rsidR="007A78E3" w:rsidRPr="00B62920">
        <w:fldChar w:fldCharType="separate"/>
      </w:r>
      <w:r w:rsidR="00B52E51">
        <w:t>53</w:t>
      </w:r>
      <w:r w:rsidR="007A78E3" w:rsidRPr="00B62920">
        <w:fldChar w:fldCharType="end"/>
      </w:r>
      <w:r w:rsidRPr="00B62920">
        <w:t xml:space="preserve"> above). </w:t>
      </w:r>
      <w:r w:rsidRPr="00B62920">
        <w:rPr>
          <w:bCs/>
          <w:lang w:val="en-GB"/>
        </w:rPr>
        <w:t xml:space="preserve">In this regard, the Panel must note that almost any investigation at its initial stage lacks a significant amount of information. Finding the </w:t>
      </w:r>
      <w:r w:rsidRPr="00B62920">
        <w:rPr>
          <w:lang w:val="en-GB"/>
        </w:rPr>
        <w:t>necessary</w:t>
      </w:r>
      <w:r w:rsidRPr="00B62920">
        <w:rPr>
          <w:bCs/>
          <w:lang w:val="en-GB"/>
        </w:rPr>
        <w:t xml:space="preserve"> information to fill those gaps is the main goal of any investigative activity. Therefore, a lack of information should not be used as an argument to defend inaction by the investigative authorities. Thus, it appears that, instead of actively searching for information and leads, UNMIK Police simply waited for further information to appear by itself. In this situation it may have led to the loss of potential evidence (see e.g. HRAP, </w:t>
      </w:r>
      <w:r w:rsidRPr="00B62920">
        <w:rPr>
          <w:bCs/>
          <w:i/>
          <w:lang w:val="en-GB"/>
        </w:rPr>
        <w:t>P.S</w:t>
      </w:r>
      <w:r w:rsidRPr="00B62920">
        <w:rPr>
          <w:bCs/>
          <w:lang w:val="en-GB"/>
        </w:rPr>
        <w:t xml:space="preserve">., no. 48/09, opinion of 31 October 2013, § 107; HRAP, </w:t>
      </w:r>
      <w:r w:rsidRPr="00B62920">
        <w:rPr>
          <w:bCs/>
          <w:i/>
          <w:lang w:val="en-GB"/>
        </w:rPr>
        <w:t>Stevanović</w:t>
      </w:r>
      <w:r w:rsidRPr="00B62920">
        <w:rPr>
          <w:bCs/>
          <w:lang w:val="en-GB"/>
        </w:rPr>
        <w:t>, no. 289/09, opinion of 14 December 2014, § 111).</w:t>
      </w:r>
    </w:p>
    <w:p w:rsidR="00874A40" w:rsidRPr="00B62920" w:rsidRDefault="00874A40" w:rsidP="00874A40">
      <w:pPr>
        <w:pStyle w:val="ListParagraph"/>
        <w:rPr>
          <w:bCs/>
          <w:lang w:val="en-GB"/>
        </w:rPr>
      </w:pPr>
    </w:p>
    <w:p w:rsidR="00874A40" w:rsidRPr="00B62920" w:rsidRDefault="00874A40" w:rsidP="00874A40">
      <w:pPr>
        <w:numPr>
          <w:ilvl w:val="0"/>
          <w:numId w:val="2"/>
        </w:numPr>
        <w:tabs>
          <w:tab w:val="left" w:pos="709"/>
        </w:tabs>
        <w:suppressAutoHyphens/>
        <w:autoSpaceDE w:val="0"/>
        <w:ind w:left="450" w:hanging="450"/>
        <w:jc w:val="both"/>
      </w:pPr>
      <w:r w:rsidRPr="00B62920">
        <w:rPr>
          <w:lang w:val="en-GB"/>
        </w:rPr>
        <w:t xml:space="preserve">It is particularly important to note that the complainant’s contact details, in </w:t>
      </w:r>
      <w:r w:rsidR="001F22FD" w:rsidRPr="00B62920">
        <w:rPr>
          <w:lang w:val="en-GB"/>
        </w:rPr>
        <w:t>Serbia proper</w:t>
      </w:r>
      <w:r w:rsidRPr="00B62920">
        <w:rPr>
          <w:lang w:val="en-GB"/>
        </w:rPr>
        <w:t>, were available to UNMIK Police from the very beginning.</w:t>
      </w:r>
      <w:r w:rsidRPr="00B62920">
        <w:rPr>
          <w:rStyle w:val="sb8d990e2"/>
        </w:rPr>
        <w:t xml:space="preserve"> In this respect, the Panel recalls the general need to take into account the special vulnerability of displaced persons in post-conflict situations (see § </w:t>
      </w:r>
      <w:r w:rsidRPr="00B62920">
        <w:fldChar w:fldCharType="begin"/>
      </w:r>
      <w:r w:rsidRPr="00B62920">
        <w:rPr>
          <w:rStyle w:val="sb8d990e2"/>
        </w:rPr>
        <w:instrText xml:space="preserve"> REF _Ref414025885 \r \h </w:instrText>
      </w:r>
      <w:r w:rsidRPr="00B62920">
        <w:instrText xml:space="preserve"> \* MERGEFORMAT </w:instrText>
      </w:r>
      <w:r w:rsidRPr="00B62920">
        <w:fldChar w:fldCharType="separate"/>
      </w:r>
      <w:r w:rsidR="00B52E51">
        <w:rPr>
          <w:rStyle w:val="sb8d990e2"/>
        </w:rPr>
        <w:t>84</w:t>
      </w:r>
      <w:r w:rsidRPr="00B62920">
        <w:fldChar w:fldCharType="end"/>
      </w:r>
      <w:r w:rsidRPr="00B62920">
        <w:rPr>
          <w:rStyle w:val="sb8d990e2"/>
        </w:rPr>
        <w:t xml:space="preserve"> above). Thus, in the Panel’s view, it wa</w:t>
      </w:r>
      <w:r w:rsidR="001F22FD" w:rsidRPr="00B62920">
        <w:rPr>
          <w:rStyle w:val="sb8d990e2"/>
        </w:rPr>
        <w:t>s for UNMIK to reach out to the complainant, and not for</w:t>
      </w:r>
      <w:r w:rsidR="00AA7E95" w:rsidRPr="00B62920">
        <w:rPr>
          <w:rStyle w:val="sb8d990e2"/>
        </w:rPr>
        <w:t xml:space="preserve"> her</w:t>
      </w:r>
      <w:r w:rsidRPr="00B62920">
        <w:rPr>
          <w:rStyle w:val="sb8d990e2"/>
        </w:rPr>
        <w:t xml:space="preserve"> to c</w:t>
      </w:r>
      <w:r w:rsidR="001F22FD" w:rsidRPr="00B62920">
        <w:rPr>
          <w:rStyle w:val="sb8d990e2"/>
        </w:rPr>
        <w:t xml:space="preserve">ome back to Kosovo, from where </w:t>
      </w:r>
      <w:r w:rsidR="007A78E3" w:rsidRPr="00B62920">
        <w:rPr>
          <w:rStyle w:val="sb8d990e2"/>
        </w:rPr>
        <w:t>s</w:t>
      </w:r>
      <w:r w:rsidR="001F22FD" w:rsidRPr="00B62920">
        <w:rPr>
          <w:rStyle w:val="sb8d990e2"/>
        </w:rPr>
        <w:t>he</w:t>
      </w:r>
      <w:r w:rsidRPr="00B62920">
        <w:rPr>
          <w:rStyle w:val="sb8d990e2"/>
        </w:rPr>
        <w:t xml:space="preserve"> had left for security reasons, to try to fin</w:t>
      </w:r>
      <w:r w:rsidR="00AA7E95" w:rsidRPr="00B62920">
        <w:rPr>
          <w:rStyle w:val="sb8d990e2"/>
        </w:rPr>
        <w:t>d out what had happened to her</w:t>
      </w:r>
      <w:r w:rsidR="005D6495">
        <w:rPr>
          <w:rStyle w:val="sb8d990e2"/>
        </w:rPr>
        <w:t xml:space="preserve"> relative</w:t>
      </w:r>
      <w:r w:rsidRPr="00B62920">
        <w:rPr>
          <w:rStyle w:val="sb8d990e2"/>
        </w:rPr>
        <w:t xml:space="preserve"> or to the investigation.</w:t>
      </w:r>
      <w:r w:rsidR="007A78E3" w:rsidRPr="00B62920">
        <w:rPr>
          <w:rStyle w:val="sb8d990e2"/>
        </w:rPr>
        <w:t xml:space="preserve"> </w:t>
      </w:r>
      <w:r w:rsidR="007A78E3" w:rsidRPr="00B62920">
        <w:rPr>
          <w:rStyle w:val="sb8d990e2"/>
        </w:rPr>
        <w:lastRenderedPageBreak/>
        <w:t>The Panel is especially troubled that the SRSG appears to shift the blame on to the complainant by noting that she “</w:t>
      </w:r>
      <w:r w:rsidR="007A78E3" w:rsidRPr="00B62920">
        <w:rPr>
          <w:lang w:val="en-GB"/>
        </w:rPr>
        <w:t xml:space="preserve">informed the UNMK Police Officer in charge of the investigation that she will call back. Until 24 December 2004, which is the date of the Investigation Report, she did not call back (see § </w:t>
      </w:r>
      <w:r w:rsidR="007A78E3" w:rsidRPr="00B62920">
        <w:rPr>
          <w:lang w:val="en-GB"/>
        </w:rPr>
        <w:fldChar w:fldCharType="begin"/>
      </w:r>
      <w:r w:rsidR="007A78E3" w:rsidRPr="00B62920">
        <w:rPr>
          <w:lang w:val="en-GB"/>
        </w:rPr>
        <w:instrText xml:space="preserve"> REF _Ref420326925 \r \h </w:instrText>
      </w:r>
      <w:r w:rsidR="000E11DC" w:rsidRPr="00B62920">
        <w:rPr>
          <w:lang w:val="en-GB"/>
        </w:rPr>
        <w:instrText xml:space="preserve"> \* MERGEFORMAT </w:instrText>
      </w:r>
      <w:r w:rsidR="007A78E3" w:rsidRPr="00B62920">
        <w:rPr>
          <w:lang w:val="en-GB"/>
        </w:rPr>
      </w:r>
      <w:r w:rsidR="007A78E3" w:rsidRPr="00B62920">
        <w:rPr>
          <w:lang w:val="en-GB"/>
        </w:rPr>
        <w:fldChar w:fldCharType="separate"/>
      </w:r>
      <w:r w:rsidR="00B52E51">
        <w:rPr>
          <w:lang w:val="en-GB"/>
        </w:rPr>
        <w:t>53</w:t>
      </w:r>
      <w:r w:rsidR="007A78E3" w:rsidRPr="00B62920">
        <w:rPr>
          <w:lang w:val="en-GB"/>
        </w:rPr>
        <w:fldChar w:fldCharType="end"/>
      </w:r>
      <w:r w:rsidR="007A78E3" w:rsidRPr="00B62920">
        <w:rPr>
          <w:lang w:val="en-GB"/>
        </w:rPr>
        <w:t xml:space="preserve"> above).” </w:t>
      </w:r>
    </w:p>
    <w:p w:rsidR="00E92DED" w:rsidRPr="00B62920" w:rsidRDefault="00E92DED" w:rsidP="00445981">
      <w:pPr>
        <w:tabs>
          <w:tab w:val="left" w:pos="709"/>
        </w:tabs>
        <w:autoSpaceDE w:val="0"/>
        <w:jc w:val="both"/>
        <w:rPr>
          <w:lang w:val="en-GB"/>
        </w:rPr>
      </w:pPr>
    </w:p>
    <w:p w:rsidR="00E92DED" w:rsidRPr="00B62920" w:rsidRDefault="00E92DED" w:rsidP="00E92DED">
      <w:pPr>
        <w:pStyle w:val="ListParagraph"/>
        <w:numPr>
          <w:ilvl w:val="0"/>
          <w:numId w:val="2"/>
        </w:numPr>
        <w:tabs>
          <w:tab w:val="clear" w:pos="360"/>
          <w:tab w:val="num" w:pos="450"/>
        </w:tabs>
        <w:autoSpaceDE w:val="0"/>
        <w:ind w:left="450" w:hanging="450"/>
        <w:jc w:val="both"/>
        <w:rPr>
          <w:lang w:val="en-GB"/>
        </w:rPr>
      </w:pPr>
      <w:r w:rsidRPr="00B62920">
        <w:rPr>
          <w:lang w:val="en-GB"/>
        </w:rPr>
        <w:t xml:space="preserve">Coming to the period within its jurisdiction, starting from 23 April 2005, the Panel notes that after that critical date the failure to conduct the necessary investigative actions, including those at the initial stage, persisted. Accordingly, inadequacies existing up until that date were not addressed. </w:t>
      </w:r>
      <w:r w:rsidRPr="00B62920">
        <w:rPr>
          <w:bCs/>
          <w:lang w:val="en-GB"/>
        </w:rPr>
        <w:t>Thus</w:t>
      </w:r>
      <w:r w:rsidRPr="00B62920">
        <w:rPr>
          <w:lang w:val="en-GB"/>
        </w:rPr>
        <w:t xml:space="preserve">, in accordance with the continuing obligation to investigate (see § </w:t>
      </w:r>
      <w:r w:rsidRPr="00B62920">
        <w:fldChar w:fldCharType="begin"/>
      </w:r>
      <w:r w:rsidRPr="00B62920">
        <w:instrText xml:space="preserve"> REF _Ref373950745 \r \h  \* MERGEFORMAT </w:instrText>
      </w:r>
      <w:r w:rsidRPr="00B62920">
        <w:fldChar w:fldCharType="separate"/>
      </w:r>
      <w:r w:rsidR="00B52E51" w:rsidRPr="00B52E51">
        <w:rPr>
          <w:lang w:val="en-GB"/>
        </w:rPr>
        <w:t>74</w:t>
      </w:r>
      <w:r w:rsidRPr="00B62920">
        <w:fldChar w:fldCharType="end"/>
      </w:r>
      <w:r w:rsidRPr="00B62920">
        <w:rPr>
          <w:lang w:val="en-GB"/>
        </w:rPr>
        <w:t xml:space="preserve"> above), the assessment of the whole investigation is brought within the period of the Panel’s jurisdiction.</w:t>
      </w:r>
    </w:p>
    <w:p w:rsidR="00E92DED" w:rsidRPr="00B62920" w:rsidRDefault="00E92DED" w:rsidP="001F0511">
      <w:pPr>
        <w:rPr>
          <w:lang w:val="en-GB"/>
        </w:rPr>
      </w:pPr>
    </w:p>
    <w:p w:rsidR="009A6E2B" w:rsidRPr="00B62920" w:rsidRDefault="001F0511" w:rsidP="00383CDF">
      <w:pPr>
        <w:pStyle w:val="ListParagraph"/>
        <w:numPr>
          <w:ilvl w:val="0"/>
          <w:numId w:val="2"/>
        </w:numPr>
        <w:tabs>
          <w:tab w:val="clear" w:pos="360"/>
          <w:tab w:val="num" w:pos="450"/>
        </w:tabs>
        <w:autoSpaceDE w:val="0"/>
        <w:ind w:left="450" w:hanging="450"/>
        <w:jc w:val="both"/>
        <w:rPr>
          <w:lang w:val="en-GB"/>
        </w:rPr>
      </w:pPr>
      <w:r w:rsidRPr="00B62920">
        <w:rPr>
          <w:lang w:val="en-GB"/>
        </w:rPr>
        <w:t>In addition, t</w:t>
      </w:r>
      <w:r w:rsidR="009A6E2B" w:rsidRPr="00B62920">
        <w:rPr>
          <w:lang w:val="en-GB"/>
        </w:rPr>
        <w:t xml:space="preserve">he Panel considers that, as </w:t>
      </w:r>
      <w:r w:rsidR="009A6E2B" w:rsidRPr="00B62920">
        <w:rPr>
          <w:color w:val="000000"/>
          <w:lang w:val="en-GB"/>
        </w:rPr>
        <w:t>the</w:t>
      </w:r>
      <w:r w:rsidR="009A6E2B" w:rsidRPr="00B62920">
        <w:rPr>
          <w:lang w:val="en-GB"/>
        </w:rPr>
        <w:t xml:space="preserve"> mortal remains of </w:t>
      </w:r>
      <w:r w:rsidR="00D03F27" w:rsidRPr="00B62920">
        <w:t xml:space="preserve">Mr Duško </w:t>
      </w:r>
      <w:r w:rsidR="00D03F27" w:rsidRPr="00B62920">
        <w:rPr>
          <w:lang w:val="en-GB"/>
        </w:rPr>
        <w:t>Karanović</w:t>
      </w:r>
      <w:r w:rsidR="00D03F27" w:rsidRPr="00B62920">
        <w:t xml:space="preserve"> </w:t>
      </w:r>
      <w:r w:rsidR="009A6E2B" w:rsidRPr="00B62920">
        <w:rPr>
          <w:lang w:val="en-GB"/>
        </w:rPr>
        <w:t>had not been located and those responsible for the crime had not been identified, UNMIK was obliged to use the means at its disposal to regularly review the progress of the investigation to ensure that nothing had been overlooked and any new evidence had been consid</w:t>
      </w:r>
      <w:r w:rsidR="00E84F72" w:rsidRPr="00B62920">
        <w:rPr>
          <w:lang w:val="en-GB"/>
        </w:rPr>
        <w:t>ered, as well as to inform his</w:t>
      </w:r>
      <w:r w:rsidR="009A6E2B" w:rsidRPr="00B62920">
        <w:rPr>
          <w:lang w:val="en-GB"/>
        </w:rPr>
        <w:t xml:space="preserve"> relatives regarding any possible new leads of enquiry. </w:t>
      </w:r>
    </w:p>
    <w:p w:rsidR="009A6E2B" w:rsidRPr="00B62920" w:rsidRDefault="009A6E2B" w:rsidP="009A6E2B">
      <w:pPr>
        <w:rPr>
          <w:lang w:val="en-GB"/>
        </w:rPr>
      </w:pPr>
    </w:p>
    <w:p w:rsidR="008D57A4" w:rsidRPr="00B62920" w:rsidRDefault="00D03F27" w:rsidP="008D57A4">
      <w:pPr>
        <w:pStyle w:val="ListParagraph"/>
        <w:numPr>
          <w:ilvl w:val="0"/>
          <w:numId w:val="2"/>
        </w:numPr>
        <w:tabs>
          <w:tab w:val="clear" w:pos="360"/>
          <w:tab w:val="num" w:pos="450"/>
          <w:tab w:val="left" w:pos="709"/>
        </w:tabs>
        <w:autoSpaceDE w:val="0"/>
        <w:ind w:left="450" w:hanging="450"/>
        <w:jc w:val="both"/>
        <w:rPr>
          <w:color w:val="000000" w:themeColor="text1"/>
          <w:lang w:val="en-GB"/>
        </w:rPr>
      </w:pPr>
      <w:bookmarkStart w:id="109" w:name="_Ref394500901"/>
      <w:r w:rsidRPr="00B62920">
        <w:rPr>
          <w:lang w:val="en-GB"/>
        </w:rPr>
        <w:t xml:space="preserve">The </w:t>
      </w:r>
      <w:r w:rsidRPr="00B62920">
        <w:rPr>
          <w:bCs/>
          <w:lang w:val="en-GB"/>
        </w:rPr>
        <w:t>Panel</w:t>
      </w:r>
      <w:r w:rsidRPr="00B62920">
        <w:rPr>
          <w:lang w:val="en-GB"/>
        </w:rPr>
        <w:t xml:space="preserve"> notes that t</w:t>
      </w:r>
      <w:r w:rsidRPr="00B62920">
        <w:rPr>
          <w:color w:val="000000" w:themeColor="text1"/>
          <w:lang w:val="en-GB"/>
        </w:rPr>
        <w:t xml:space="preserve">here is no evidence presented in the file that any investigative activity was </w:t>
      </w:r>
      <w:r w:rsidRPr="00B62920">
        <w:rPr>
          <w:lang w:val="en-GB"/>
        </w:rPr>
        <w:t>accomplished</w:t>
      </w:r>
      <w:r w:rsidRPr="00B62920">
        <w:rPr>
          <w:color w:val="000000" w:themeColor="text1"/>
          <w:lang w:val="en-GB"/>
        </w:rPr>
        <w:t>, or even contemplated</w:t>
      </w:r>
      <w:bookmarkEnd w:id="109"/>
      <w:r w:rsidRPr="00B62920">
        <w:rPr>
          <w:color w:val="000000" w:themeColor="text1"/>
          <w:lang w:val="en-GB"/>
        </w:rPr>
        <w:t xml:space="preserve">. </w:t>
      </w:r>
      <w:r w:rsidRPr="00B62920">
        <w:rPr>
          <w:lang w:val="en-GB"/>
        </w:rPr>
        <w:t xml:space="preserve">Further, the </w:t>
      </w:r>
      <w:r w:rsidRPr="00B62920">
        <w:rPr>
          <w:bCs/>
          <w:lang w:val="en-GB"/>
        </w:rPr>
        <w:t>Panel</w:t>
      </w:r>
      <w:r w:rsidRPr="00B62920">
        <w:rPr>
          <w:lang w:val="en-GB"/>
        </w:rPr>
        <w:t xml:space="preserve"> notes with concern that, in an apparent deviation from normal WCIU procedure, there is no evidence that the investigation was ever reviewed by the WCIU, or </w:t>
      </w:r>
      <w:r w:rsidRPr="00B62920">
        <w:rPr>
          <w:color w:val="000000" w:themeColor="text1"/>
          <w:lang w:val="en-GB"/>
        </w:rPr>
        <w:t xml:space="preserve">that any further review was contemplated. </w:t>
      </w:r>
    </w:p>
    <w:p w:rsidR="00D03F27" w:rsidRPr="00B62920" w:rsidRDefault="00D03F27" w:rsidP="00D03F27">
      <w:pPr>
        <w:tabs>
          <w:tab w:val="left" w:pos="709"/>
        </w:tabs>
        <w:autoSpaceDE w:val="0"/>
        <w:jc w:val="both"/>
        <w:rPr>
          <w:color w:val="000000" w:themeColor="text1"/>
          <w:lang w:val="en-GB"/>
        </w:rPr>
      </w:pPr>
    </w:p>
    <w:p w:rsidR="00E92DED" w:rsidRPr="00B62920" w:rsidRDefault="00E92DED" w:rsidP="00E92DED">
      <w:pPr>
        <w:pStyle w:val="ListParagraph"/>
        <w:numPr>
          <w:ilvl w:val="0"/>
          <w:numId w:val="2"/>
        </w:numPr>
        <w:tabs>
          <w:tab w:val="clear" w:pos="360"/>
          <w:tab w:val="num" w:pos="450"/>
        </w:tabs>
        <w:autoSpaceDE w:val="0"/>
        <w:ind w:left="450" w:hanging="450"/>
        <w:jc w:val="both"/>
        <w:rPr>
          <w:lang w:val="en-GB"/>
        </w:rPr>
      </w:pPr>
      <w:r w:rsidRPr="00B62920">
        <w:rPr>
          <w:lang w:val="en-GB"/>
        </w:rPr>
        <w:t xml:space="preserve">The apparent lack of any </w:t>
      </w:r>
      <w:r w:rsidRPr="00B62920">
        <w:rPr>
          <w:bCs/>
        </w:rPr>
        <w:t xml:space="preserve">adequate </w:t>
      </w:r>
      <w:r w:rsidRPr="00B62920">
        <w:rPr>
          <w:lang w:val="en-GB"/>
        </w:rPr>
        <w:t>reaction from UNMIK Police, and of any action at later stages, may have suggested to the perpetrators that the authorities were either not able, or not willing to investigate such criminal acts. Such an attitude of the authorities towards the gravest crimes in any society, and especially in post-conflict circumstances, inevitably creates a culture of impunity among the criminals and can lead to a worsening of the situation. The problems that UNMIK had encountered at the beginning of its mission, which were discussed above, do not justify such inaction, either at the outset or subsequently.</w:t>
      </w:r>
    </w:p>
    <w:p w:rsidR="00874A40" w:rsidRPr="00B62920" w:rsidRDefault="00874A40" w:rsidP="00874A40">
      <w:pPr>
        <w:pStyle w:val="ListParagraph"/>
        <w:rPr>
          <w:lang w:val="en-GB"/>
        </w:rPr>
      </w:pPr>
    </w:p>
    <w:p w:rsidR="00874A40" w:rsidRPr="00B62920" w:rsidRDefault="00874A40" w:rsidP="008D57A4">
      <w:pPr>
        <w:pStyle w:val="ListParagraph"/>
        <w:numPr>
          <w:ilvl w:val="0"/>
          <w:numId w:val="2"/>
        </w:numPr>
        <w:tabs>
          <w:tab w:val="clear" w:pos="360"/>
          <w:tab w:val="num" w:pos="450"/>
        </w:tabs>
        <w:autoSpaceDE w:val="0"/>
        <w:ind w:left="450" w:hanging="450"/>
        <w:jc w:val="both"/>
      </w:pPr>
      <w:r w:rsidRPr="00B62920">
        <w:rPr>
          <w:color w:val="000000" w:themeColor="text1"/>
          <w:lang w:val="en-GB"/>
        </w:rPr>
        <w:t xml:space="preserve">The Panel notes with concern the SRSG’s assertion that </w:t>
      </w:r>
      <w:r w:rsidR="00D03F27" w:rsidRPr="00B62920">
        <w:rPr>
          <w:color w:val="000000" w:themeColor="text1"/>
          <w:lang w:val="en-GB"/>
        </w:rPr>
        <w:t>“UNMIK has noted in other missing persons cases that, without witnesses coming forward or physical evidence being discovered, police investigations inevitably stall because of a lack of evidence</w:t>
      </w:r>
      <w:r w:rsidR="00D03F27" w:rsidRPr="00B62920">
        <w:t xml:space="preserve"> </w:t>
      </w:r>
      <w:r w:rsidRPr="00B62920">
        <w:t xml:space="preserve">(see § </w:t>
      </w:r>
      <w:r w:rsidR="00D03F27" w:rsidRPr="00B62920">
        <w:fldChar w:fldCharType="begin"/>
      </w:r>
      <w:r w:rsidR="00D03F27" w:rsidRPr="00B62920">
        <w:instrText xml:space="preserve"> REF _Ref420334483 \r \h </w:instrText>
      </w:r>
      <w:r w:rsidR="00B62920" w:rsidRPr="00B62920">
        <w:instrText xml:space="preserve"> \* MERGEFORMAT </w:instrText>
      </w:r>
      <w:r w:rsidR="00D03F27" w:rsidRPr="00B62920">
        <w:fldChar w:fldCharType="separate"/>
      </w:r>
      <w:r w:rsidR="00B52E51">
        <w:t>54</w:t>
      </w:r>
      <w:r w:rsidR="00D03F27" w:rsidRPr="00B62920">
        <w:fldChar w:fldCharType="end"/>
      </w:r>
      <w:r w:rsidRPr="00B62920">
        <w:t xml:space="preserve"> above). </w:t>
      </w:r>
      <w:r w:rsidRPr="00B62920">
        <w:rPr>
          <w:color w:val="000000" w:themeColor="text1"/>
          <w:lang w:val="en-GB"/>
        </w:rPr>
        <w:t xml:space="preserve">The Panel also reiterates in this regard its position </w:t>
      </w:r>
      <w:r w:rsidRPr="00B62920">
        <w:rPr>
          <w:bCs/>
          <w:color w:val="000000" w:themeColor="text1"/>
          <w:lang w:val="en-GB"/>
        </w:rPr>
        <w:t xml:space="preserve">expressed in many other cases in relation to the adequacy of the investigations into the abductions, disappearances, killings and suspicious deaths </w:t>
      </w:r>
      <w:r w:rsidRPr="00B62920">
        <w:rPr>
          <w:color w:val="000000" w:themeColor="text1"/>
          <w:lang w:val="en-GB"/>
        </w:rPr>
        <w:t xml:space="preserve">and </w:t>
      </w:r>
      <w:r w:rsidRPr="00B62920">
        <w:rPr>
          <w:color w:val="000000" w:themeColor="text1"/>
        </w:rPr>
        <w:t>to</w:t>
      </w:r>
      <w:r w:rsidRPr="00B62920">
        <w:rPr>
          <w:color w:val="000000" w:themeColor="text1"/>
          <w:lang w:val="en-GB"/>
        </w:rPr>
        <w:t xml:space="preserve"> the categorisation of cases into “active” and “inactive”. </w:t>
      </w:r>
      <w:r w:rsidRPr="00B62920">
        <w:rPr>
          <w:bCs/>
          <w:color w:val="000000" w:themeColor="text1"/>
          <w:lang w:val="en-GB"/>
        </w:rPr>
        <w:t>In those cases the Panel has underlined that</w:t>
      </w:r>
      <w:r w:rsidRPr="00B62920">
        <w:rPr>
          <w:color w:val="000000" w:themeColor="text1"/>
          <w:lang w:val="en-GB"/>
        </w:rPr>
        <w:t xml:space="preserve"> any </w:t>
      </w:r>
      <w:r w:rsidRPr="00B62920">
        <w:rPr>
          <w:bCs/>
          <w:color w:val="000000" w:themeColor="text1"/>
          <w:lang w:val="en-GB"/>
        </w:rPr>
        <w:t xml:space="preserve">“categorisation of an investigation should take place only after the </w:t>
      </w:r>
      <w:r w:rsidRPr="00B62920">
        <w:rPr>
          <w:color w:val="000000" w:themeColor="text1"/>
          <w:lang w:val="en-GB"/>
        </w:rPr>
        <w:t>minimum</w:t>
      </w:r>
      <w:r w:rsidRPr="00B62920">
        <w:rPr>
          <w:bCs/>
          <w:color w:val="000000" w:themeColor="text1"/>
          <w:lang w:val="en-GB"/>
        </w:rPr>
        <w:t xml:space="preserve"> </w:t>
      </w:r>
      <w:r w:rsidRPr="00B62920">
        <w:rPr>
          <w:color w:val="000000" w:themeColor="text1"/>
        </w:rPr>
        <w:t>possible</w:t>
      </w:r>
      <w:r w:rsidRPr="00B62920">
        <w:rPr>
          <w:bCs/>
          <w:color w:val="000000" w:themeColor="text1"/>
          <w:lang w:val="en-GB"/>
        </w:rPr>
        <w:t xml:space="preserve"> investigative actions have been undertaken and obtainable information has been collected and analysed” </w:t>
      </w:r>
      <w:r w:rsidRPr="00B62920">
        <w:rPr>
          <w:color w:val="000000" w:themeColor="text1"/>
          <w:lang w:val="en-GB"/>
        </w:rPr>
        <w:t xml:space="preserve">(see e.g. HRAP, </w:t>
      </w:r>
      <w:r w:rsidRPr="00B62920">
        <w:rPr>
          <w:i/>
          <w:color w:val="000000" w:themeColor="text1"/>
          <w:lang w:val="en-GB"/>
        </w:rPr>
        <w:t>B.A</w:t>
      </w:r>
      <w:r w:rsidRPr="00B62920">
        <w:rPr>
          <w:color w:val="000000" w:themeColor="text1"/>
          <w:lang w:val="en-GB"/>
        </w:rPr>
        <w:t>., no. 52/09, opinion of 14 February 2013, § 82).</w:t>
      </w:r>
    </w:p>
    <w:p w:rsidR="004F1628" w:rsidRPr="00B62920" w:rsidRDefault="004F1628" w:rsidP="004F1628">
      <w:pPr>
        <w:pStyle w:val="ListParagraph"/>
      </w:pPr>
    </w:p>
    <w:p w:rsidR="004F1628" w:rsidRPr="00B62920" w:rsidRDefault="004F1628" w:rsidP="004F1628">
      <w:pPr>
        <w:pStyle w:val="ListParagraph"/>
        <w:numPr>
          <w:ilvl w:val="0"/>
          <w:numId w:val="2"/>
        </w:numPr>
        <w:tabs>
          <w:tab w:val="clear" w:pos="360"/>
          <w:tab w:val="num" w:pos="450"/>
        </w:tabs>
        <w:autoSpaceDE w:val="0"/>
        <w:ind w:left="450" w:hanging="450"/>
        <w:jc w:val="both"/>
        <w:rPr>
          <w:lang w:val="en-GB"/>
        </w:rPr>
      </w:pPr>
      <w:r w:rsidRPr="00B62920">
        <w:rPr>
          <w:lang w:val="en-GB"/>
        </w:rPr>
        <w:t xml:space="preserve">Similarly, as the Panel has previously observed, UNMIK Police and DOJ had implemented a policy conserving its limited investigative resources and concentrating only on the investigations “with a strong likelihood of suspect identification” (see HRAP, </w:t>
      </w:r>
      <w:r w:rsidRPr="00B62920">
        <w:rPr>
          <w:i/>
          <w:lang w:val="en-GB"/>
        </w:rPr>
        <w:t>Bulatović</w:t>
      </w:r>
      <w:r w:rsidRPr="00B62920">
        <w:rPr>
          <w:lang w:val="en-GB"/>
        </w:rPr>
        <w:t xml:space="preserve">, no. 275/09, opinion of 22 April 2015, § 149). As the Panel also noted, this approach was in </w:t>
      </w:r>
      <w:r w:rsidRPr="00B62920">
        <w:rPr>
          <w:lang w:val="en-GB"/>
        </w:rPr>
        <w:lastRenderedPageBreak/>
        <w:t xml:space="preserve">contrast to the description of the situation on the ground presented by the UN Secretary-General to the UN Security Council at around the same time and indicated a serious systemic failure (see </w:t>
      </w:r>
      <w:r w:rsidRPr="00B62920">
        <w:rPr>
          <w:i/>
          <w:lang w:val="en-GB"/>
        </w:rPr>
        <w:t>ibid</w:t>
      </w:r>
      <w:r w:rsidRPr="00B62920">
        <w:rPr>
          <w:lang w:val="en-GB"/>
        </w:rPr>
        <w:t>.). In the Panel’s view, the effect of this policy may have had a serious impact on this particular investigation and, possibly, on many others of a similar nature.</w:t>
      </w:r>
    </w:p>
    <w:p w:rsidR="00E92DED" w:rsidRPr="00B62920" w:rsidRDefault="00E92DED" w:rsidP="00874A40">
      <w:pPr>
        <w:rPr>
          <w:lang w:val="en-GB"/>
        </w:rPr>
      </w:pPr>
    </w:p>
    <w:p w:rsidR="00E92DED" w:rsidRPr="00B62920" w:rsidRDefault="00E92DED" w:rsidP="00E92DED">
      <w:pPr>
        <w:numPr>
          <w:ilvl w:val="0"/>
          <w:numId w:val="2"/>
        </w:numPr>
        <w:tabs>
          <w:tab w:val="left" w:pos="709"/>
        </w:tabs>
        <w:suppressAutoHyphens/>
        <w:autoSpaceDE w:val="0"/>
        <w:ind w:left="450" w:hanging="450"/>
        <w:jc w:val="both"/>
        <w:rPr>
          <w:lang w:val="en-GB"/>
        </w:rPr>
      </w:pPr>
      <w:r w:rsidRPr="00B62920">
        <w:rPr>
          <w:color w:val="000000" w:themeColor="text1"/>
          <w:lang w:val="en-GB"/>
        </w:rPr>
        <w:t xml:space="preserve"> Likewise, the file indicates no involvement of a public prosecutor in this investigation during the period under UNMIK’s administration. As the Panel has mentioned previously, a proper prosecutorial review of the investigative file might have resulted in additional recommendations, so that the case would not have remained inactive for years to come (see HRAP, </w:t>
      </w:r>
      <w:r w:rsidRPr="00B62920">
        <w:rPr>
          <w:i/>
          <w:color w:val="000000" w:themeColor="text1"/>
          <w:lang w:val="en-GB"/>
        </w:rPr>
        <w:t>Stojković</w:t>
      </w:r>
      <w:r w:rsidRPr="00B62920">
        <w:rPr>
          <w:color w:val="000000" w:themeColor="text1"/>
          <w:lang w:val="en-GB"/>
        </w:rPr>
        <w:t>, no. 87/09, opinion of 14 December 2013, § 160). Thus, in the Panel’s view, the review of the investigative files was far from being adequate.</w:t>
      </w:r>
    </w:p>
    <w:p w:rsidR="00E92DED" w:rsidRPr="00B62920" w:rsidRDefault="00E92DED" w:rsidP="00E92DED">
      <w:pPr>
        <w:tabs>
          <w:tab w:val="left" w:pos="709"/>
        </w:tabs>
        <w:suppressAutoHyphens/>
        <w:autoSpaceDE w:val="0"/>
        <w:jc w:val="both"/>
        <w:rPr>
          <w:lang w:val="en-GB"/>
        </w:rPr>
      </w:pPr>
    </w:p>
    <w:p w:rsidR="00E92DED" w:rsidRPr="00B62920" w:rsidRDefault="00E92DED" w:rsidP="00E92DED">
      <w:pPr>
        <w:pStyle w:val="ListParagraph"/>
        <w:numPr>
          <w:ilvl w:val="0"/>
          <w:numId w:val="2"/>
        </w:numPr>
        <w:tabs>
          <w:tab w:val="clear" w:pos="360"/>
          <w:tab w:val="num" w:pos="450"/>
        </w:tabs>
        <w:autoSpaceDE w:val="0"/>
        <w:ind w:left="450" w:hanging="450"/>
        <w:jc w:val="both"/>
        <w:rPr>
          <w:lang w:val="en-GB"/>
        </w:rPr>
      </w:pPr>
      <w:r w:rsidRPr="00B62920">
        <w:rPr>
          <w:lang w:val="en-GB"/>
        </w:rPr>
        <w:t xml:space="preserve">The Panel is also aware that the duty to investigate is not breached merely because the investigation does not produce a satisfactory result. Nevertheless, such an investigation must be undertaken in a serious manner and not be a mere formality. The Panel considers that, having regard to all the circumstances of the particular case, not all reasonable steps were taken by UNMIK towards identifying the perpetrators and bringing them to justice. In this sense the Panel considers that the investigation was not adequate and did not comply with the requirements of promptness, expedition and effectiveness (see § </w:t>
      </w:r>
      <w:r w:rsidRPr="00B62920">
        <w:fldChar w:fldCharType="begin"/>
      </w:r>
      <w:r w:rsidRPr="00B62920">
        <w:rPr>
          <w:lang w:val="en-GB"/>
        </w:rPr>
        <w:instrText xml:space="preserve"> REF _Ref404684740 \r \h </w:instrText>
      </w:r>
      <w:r w:rsidRPr="00B62920">
        <w:instrText xml:space="preserve"> \* MERGEFORMAT </w:instrText>
      </w:r>
      <w:r w:rsidRPr="00B62920">
        <w:fldChar w:fldCharType="separate"/>
      </w:r>
      <w:r w:rsidR="00B52E51">
        <w:rPr>
          <w:lang w:val="en-GB"/>
        </w:rPr>
        <w:t>73</w:t>
      </w:r>
      <w:r w:rsidRPr="00B62920">
        <w:fldChar w:fldCharType="end"/>
      </w:r>
      <w:r w:rsidRPr="00B62920">
        <w:rPr>
          <w:lang w:val="en-GB"/>
        </w:rPr>
        <w:t xml:space="preserve"> above), as required by Article 2 of the ECHR.</w:t>
      </w:r>
    </w:p>
    <w:p w:rsidR="00E92DED" w:rsidRPr="00B62920" w:rsidRDefault="00E92DED" w:rsidP="00E92DED">
      <w:pPr>
        <w:tabs>
          <w:tab w:val="left" w:pos="709"/>
        </w:tabs>
        <w:suppressAutoHyphens/>
        <w:autoSpaceDE w:val="0"/>
        <w:ind w:left="450"/>
        <w:jc w:val="both"/>
        <w:rPr>
          <w:lang w:val="en-GB"/>
        </w:rPr>
      </w:pPr>
    </w:p>
    <w:p w:rsidR="00E92DED" w:rsidRPr="00B62920" w:rsidRDefault="00E92DED" w:rsidP="00874A40">
      <w:pPr>
        <w:numPr>
          <w:ilvl w:val="0"/>
          <w:numId w:val="2"/>
        </w:numPr>
        <w:tabs>
          <w:tab w:val="clear" w:pos="360"/>
          <w:tab w:val="left" w:pos="709"/>
        </w:tabs>
        <w:suppressAutoHyphens/>
        <w:autoSpaceDE w:val="0"/>
        <w:ind w:left="450" w:hanging="450"/>
        <w:jc w:val="both"/>
      </w:pPr>
      <w:r w:rsidRPr="00B62920">
        <w:t xml:space="preserve">As </w:t>
      </w:r>
      <w:r w:rsidRPr="00B62920">
        <w:rPr>
          <w:lang w:val="en-GB"/>
        </w:rPr>
        <w:t>concerns</w:t>
      </w:r>
      <w:r w:rsidRPr="00B62920">
        <w:rPr>
          <w:lang w:val="en-GB" w:eastAsia="en-GB"/>
        </w:rPr>
        <w:t xml:space="preserve"> the requirement of </w:t>
      </w:r>
      <w:r w:rsidRPr="00B62920">
        <w:t>public</w:t>
      </w:r>
      <w:r w:rsidRPr="00B62920">
        <w:rPr>
          <w:lang w:val="en-GB" w:eastAsia="en-GB"/>
        </w:rPr>
        <w:t xml:space="preserve"> scrutiny, the Panel recalls that Article 2 also requires </w:t>
      </w:r>
      <w:r w:rsidRPr="00B62920">
        <w:rPr>
          <w:lang w:val="en-GB"/>
        </w:rPr>
        <w:t>the</w:t>
      </w:r>
      <w:r w:rsidRPr="00B62920">
        <w:rPr>
          <w:lang w:val="en-GB" w:eastAsia="en-GB"/>
        </w:rPr>
        <w:t xml:space="preserve"> victims’ next-of-kin to be involved in the investigation to the extent necessary to safeguard his or her legitimate interests.</w:t>
      </w:r>
      <w:bookmarkStart w:id="110" w:name="_Ref409183639"/>
      <w:r w:rsidR="00874A40" w:rsidRPr="00B62920">
        <w:t xml:space="preserve"> </w:t>
      </w:r>
      <w:r w:rsidRPr="00B62920">
        <w:t xml:space="preserve">The investigative file shows </w:t>
      </w:r>
      <w:r w:rsidR="00445981" w:rsidRPr="00B62920">
        <w:t>that</w:t>
      </w:r>
      <w:r w:rsidR="00C02D0C" w:rsidRPr="00B62920">
        <w:t xml:space="preserve"> the</w:t>
      </w:r>
      <w:r w:rsidR="00445981" w:rsidRPr="00B62920">
        <w:t xml:space="preserve"> only contact</w:t>
      </w:r>
      <w:r w:rsidR="00D92178" w:rsidRPr="00B62920">
        <w:t xml:space="preserve"> attempted</w:t>
      </w:r>
      <w:r w:rsidRPr="00B62920">
        <w:t xml:space="preserve"> between UNMIK investigators and </w:t>
      </w:r>
      <w:r w:rsidR="00AA7E95" w:rsidRPr="00B62920">
        <w:t xml:space="preserve">Mr Duško </w:t>
      </w:r>
      <w:r w:rsidR="00AA7E95" w:rsidRPr="00B62920">
        <w:rPr>
          <w:lang w:val="en-GB"/>
        </w:rPr>
        <w:t>Karanović</w:t>
      </w:r>
      <w:r w:rsidR="009A6E2B" w:rsidRPr="00B62920">
        <w:t xml:space="preserve">’s </w:t>
      </w:r>
      <w:r w:rsidR="00D92178" w:rsidRPr="00B62920">
        <w:t>family members was</w:t>
      </w:r>
      <w:r w:rsidRPr="00B62920">
        <w:t xml:space="preserve"> the telephone</w:t>
      </w:r>
      <w:r w:rsidR="00D92178" w:rsidRPr="00B62920">
        <w:t xml:space="preserve"> call</w:t>
      </w:r>
      <w:r w:rsidRPr="00B62920">
        <w:t xml:space="preserve"> placed by WCIU investigators</w:t>
      </w:r>
      <w:r w:rsidR="009A6E2B" w:rsidRPr="00B62920">
        <w:t xml:space="preserve"> to</w:t>
      </w:r>
      <w:r w:rsidR="008D57A4" w:rsidRPr="00B62920">
        <w:t xml:space="preserve"> the complainant</w:t>
      </w:r>
      <w:r w:rsidR="009A6E2B" w:rsidRPr="00B62920">
        <w:t xml:space="preserve"> </w:t>
      </w:r>
      <w:r w:rsidRPr="00B62920">
        <w:t>detailed in the</w:t>
      </w:r>
      <w:r w:rsidR="006E0599" w:rsidRPr="00B62920">
        <w:t xml:space="preserve"> Anti</w:t>
      </w:r>
      <w:r w:rsidR="009A6E2B" w:rsidRPr="00B62920">
        <w:t xml:space="preserve"> Mortem Investigation</w:t>
      </w:r>
      <w:r w:rsidRPr="00B62920">
        <w:t xml:space="preserve"> Report</w:t>
      </w:r>
      <w:r w:rsidR="00D03F27" w:rsidRPr="00B62920">
        <w:t xml:space="preserve"> completed on 24</w:t>
      </w:r>
      <w:r w:rsidRPr="00B62920">
        <w:t xml:space="preserve"> </w:t>
      </w:r>
      <w:r w:rsidR="008D57A4" w:rsidRPr="00B62920">
        <w:t>December 2004</w:t>
      </w:r>
      <w:r w:rsidRPr="00B62920">
        <w:t xml:space="preserve"> (see § </w:t>
      </w:r>
      <w:r w:rsidR="00D03F27" w:rsidRPr="00B62920">
        <w:fldChar w:fldCharType="begin"/>
      </w:r>
      <w:r w:rsidR="00D03F27" w:rsidRPr="00B62920">
        <w:instrText xml:space="preserve"> REF _Ref420332596 \r \h </w:instrText>
      </w:r>
      <w:r w:rsidR="00B62920" w:rsidRPr="00B62920">
        <w:instrText xml:space="preserve"> \* MERGEFORMAT </w:instrText>
      </w:r>
      <w:r w:rsidR="00D03F27" w:rsidRPr="00B62920">
        <w:fldChar w:fldCharType="separate"/>
      </w:r>
      <w:r w:rsidR="00B52E51">
        <w:t>29</w:t>
      </w:r>
      <w:r w:rsidR="00D03F27" w:rsidRPr="00B62920">
        <w:fldChar w:fldCharType="end"/>
      </w:r>
      <w:r w:rsidRPr="00B62920">
        <w:t xml:space="preserve"> above). No further contact is documented in the file, including i</w:t>
      </w:r>
      <w:r w:rsidR="00154725">
        <w:t>nforming the complainant and her</w:t>
      </w:r>
      <w:r w:rsidRPr="00B62920">
        <w:t xml:space="preserve"> family about the status of the investigation. </w:t>
      </w:r>
      <w:r w:rsidRPr="00B62920">
        <w:rPr>
          <w:lang w:val="en-GB"/>
        </w:rPr>
        <w:t>The Panel therefore considers that the investigation was not open to any public scrutiny, as required by Article 2 of the ECHR</w:t>
      </w:r>
      <w:r w:rsidR="00F251DE" w:rsidRPr="00B62920">
        <w:rPr>
          <w:lang w:val="en-GB"/>
        </w:rPr>
        <w:t xml:space="preserve"> </w:t>
      </w:r>
      <w:bookmarkEnd w:id="110"/>
      <w:r w:rsidR="0090189C" w:rsidRPr="00B62920">
        <w:rPr>
          <w:lang w:val="en-GB"/>
        </w:rPr>
        <w:t xml:space="preserve">(see, </w:t>
      </w:r>
      <w:r w:rsidR="0090189C" w:rsidRPr="00B62920">
        <w:rPr>
          <w:i/>
          <w:iCs/>
          <w:lang w:val="en-GB"/>
        </w:rPr>
        <w:t>a contrario</w:t>
      </w:r>
      <w:r w:rsidR="0090189C" w:rsidRPr="00B62920">
        <w:rPr>
          <w:lang w:val="en-GB"/>
        </w:rPr>
        <w:t xml:space="preserve">,  ECtHR [GC], </w:t>
      </w:r>
      <w:r w:rsidR="0090189C" w:rsidRPr="00B62920">
        <w:rPr>
          <w:i/>
          <w:iCs/>
          <w:lang w:val="en-GB"/>
        </w:rPr>
        <w:t>Mustafa Tunç and Fecire Tunç v. Turkey</w:t>
      </w:r>
      <w:r w:rsidR="0090189C" w:rsidRPr="00B62920">
        <w:rPr>
          <w:lang w:val="en-GB"/>
        </w:rPr>
        <w:t>, no. 24</w:t>
      </w:r>
      <w:r w:rsidR="00E84F72" w:rsidRPr="00B62920">
        <w:rPr>
          <w:lang w:val="en-GB"/>
        </w:rPr>
        <w:t>014/05, judgment of 14 April 201</w:t>
      </w:r>
      <w:r w:rsidR="0090189C" w:rsidRPr="00B62920">
        <w:rPr>
          <w:lang w:val="en-GB"/>
        </w:rPr>
        <w:t>5, §§ 210 - 216).</w:t>
      </w:r>
    </w:p>
    <w:p w:rsidR="00E92DED" w:rsidRPr="00B62920" w:rsidRDefault="00E92DED" w:rsidP="00874A40">
      <w:pPr>
        <w:rPr>
          <w:color w:val="000000" w:themeColor="text1"/>
          <w:lang w:val="en-GB"/>
        </w:rPr>
      </w:pPr>
    </w:p>
    <w:p w:rsidR="00E92DED" w:rsidRPr="00B62920" w:rsidRDefault="00D92178" w:rsidP="00E92DED">
      <w:pPr>
        <w:numPr>
          <w:ilvl w:val="0"/>
          <w:numId w:val="2"/>
        </w:numPr>
        <w:tabs>
          <w:tab w:val="clear" w:pos="360"/>
          <w:tab w:val="left" w:pos="709"/>
        </w:tabs>
        <w:suppressAutoHyphens/>
        <w:autoSpaceDE w:val="0"/>
        <w:ind w:left="450" w:hanging="450"/>
        <w:jc w:val="both"/>
      </w:pPr>
      <w:r w:rsidRPr="00B62920">
        <w:rPr>
          <w:color w:val="000000" w:themeColor="text1"/>
          <w:lang w:val="en-GB"/>
        </w:rPr>
        <w:t>I</w:t>
      </w:r>
      <w:r w:rsidR="00E92DED" w:rsidRPr="00B62920">
        <w:rPr>
          <w:color w:val="000000" w:themeColor="text1"/>
          <w:lang w:val="en-GB"/>
        </w:rPr>
        <w:t>n light of the shortcomings and deficiencies in the investigation described above,</w:t>
      </w:r>
      <w:r w:rsidRPr="00B62920">
        <w:rPr>
          <w:color w:val="000000" w:themeColor="text1"/>
          <w:lang w:val="en-GB"/>
        </w:rPr>
        <w:t xml:space="preserve"> the Panel</w:t>
      </w:r>
      <w:r w:rsidR="00E92DED" w:rsidRPr="00B62920">
        <w:rPr>
          <w:color w:val="000000" w:themeColor="text1"/>
          <w:lang w:val="en-GB"/>
        </w:rPr>
        <w:t xml:space="preserve"> considers that the case of </w:t>
      </w:r>
      <w:r w:rsidR="00D03F27" w:rsidRPr="00B62920">
        <w:t xml:space="preserve">Mr Duško </w:t>
      </w:r>
      <w:r w:rsidR="00D03F27" w:rsidRPr="00B62920">
        <w:rPr>
          <w:lang w:val="en-GB"/>
        </w:rPr>
        <w:t>Karanović</w:t>
      </w:r>
      <w:r w:rsidR="00E92DED" w:rsidRPr="00B62920">
        <w:rPr>
          <w:color w:val="000000" w:themeColor="text1"/>
          <w:lang w:val="en-GB"/>
        </w:rPr>
        <w:t xml:space="preserve">, as well as other cases of killings, abductions and disappearances previously examined, well exemplify a pattern </w:t>
      </w:r>
      <w:r w:rsidR="00E92DED" w:rsidRPr="00B62920">
        <w:t xml:space="preserve">of perfunctory and </w:t>
      </w:r>
      <w:r w:rsidR="00E92DED" w:rsidRPr="00B62920">
        <w:rPr>
          <w:color w:val="000000" w:themeColor="text1"/>
          <w:lang w:val="en-GB"/>
        </w:rPr>
        <w:t xml:space="preserve">unproductive investigations conducted by the UNMIK Police into killings and disappearances in Kosovo (see § </w:t>
      </w:r>
      <w:r w:rsidR="00E92DED" w:rsidRPr="00B62920">
        <w:rPr>
          <w:color w:val="000000" w:themeColor="text1"/>
          <w:lang w:val="en-GB"/>
        </w:rPr>
        <w:fldChar w:fldCharType="begin"/>
      </w:r>
      <w:r w:rsidR="00E92DED" w:rsidRPr="00B62920">
        <w:rPr>
          <w:color w:val="000000" w:themeColor="text1"/>
          <w:lang w:val="en-GB"/>
        </w:rPr>
        <w:instrText xml:space="preserve"> REF _Ref403834230 \r \h  \* MERGEFORMAT </w:instrText>
      </w:r>
      <w:r w:rsidR="00E92DED" w:rsidRPr="00B62920">
        <w:rPr>
          <w:color w:val="000000" w:themeColor="text1"/>
          <w:lang w:val="en-GB"/>
        </w:rPr>
      </w:r>
      <w:r w:rsidR="00E92DED" w:rsidRPr="00B62920">
        <w:rPr>
          <w:color w:val="000000" w:themeColor="text1"/>
          <w:lang w:val="en-GB"/>
        </w:rPr>
        <w:fldChar w:fldCharType="separate"/>
      </w:r>
      <w:r w:rsidR="00B52E51">
        <w:rPr>
          <w:color w:val="000000" w:themeColor="text1"/>
          <w:lang w:val="en-GB"/>
        </w:rPr>
        <w:t>87</w:t>
      </w:r>
      <w:r w:rsidR="00E92DED" w:rsidRPr="00B62920">
        <w:rPr>
          <w:color w:val="000000" w:themeColor="text1"/>
          <w:lang w:val="en-GB"/>
        </w:rPr>
        <w:fldChar w:fldCharType="end"/>
      </w:r>
      <w:r w:rsidR="00E92DED" w:rsidRPr="00B62920">
        <w:rPr>
          <w:color w:val="000000" w:themeColor="text1"/>
          <w:lang w:val="en-GB"/>
        </w:rPr>
        <w:t xml:space="preserve"> above; compare with HRC, </w:t>
      </w:r>
      <w:r w:rsidR="00E92DED" w:rsidRPr="00B62920">
        <w:rPr>
          <w:i/>
          <w:color w:val="000000" w:themeColor="text1"/>
          <w:lang w:val="en-GB"/>
        </w:rPr>
        <w:t>Abubakar Amirov and Aïzan Amirova v. Russian Federation</w:t>
      </w:r>
      <w:r w:rsidR="00E92DED" w:rsidRPr="00B62920">
        <w:rPr>
          <w:color w:val="000000" w:themeColor="text1"/>
          <w:lang w:val="en-GB"/>
        </w:rPr>
        <w:t xml:space="preserve">, cited in § </w:t>
      </w:r>
      <w:r w:rsidR="00E92DED" w:rsidRPr="00B62920">
        <w:rPr>
          <w:color w:val="000000" w:themeColor="text1"/>
          <w:lang w:val="en-GB"/>
        </w:rPr>
        <w:fldChar w:fldCharType="begin"/>
      </w:r>
      <w:r w:rsidR="00E92DED" w:rsidRPr="00B62920">
        <w:rPr>
          <w:color w:val="000000" w:themeColor="text1"/>
          <w:lang w:val="en-GB"/>
        </w:rPr>
        <w:instrText xml:space="preserve"> REF _Ref404685440 \r \h  \* MERGEFORMAT </w:instrText>
      </w:r>
      <w:r w:rsidR="00E92DED" w:rsidRPr="00B62920">
        <w:rPr>
          <w:color w:val="000000" w:themeColor="text1"/>
          <w:lang w:val="en-GB"/>
        </w:rPr>
      </w:r>
      <w:r w:rsidR="00E92DED" w:rsidRPr="00B62920">
        <w:rPr>
          <w:color w:val="000000" w:themeColor="text1"/>
          <w:lang w:val="en-GB"/>
        </w:rPr>
        <w:fldChar w:fldCharType="separate"/>
      </w:r>
      <w:r w:rsidR="00B52E51">
        <w:rPr>
          <w:color w:val="000000" w:themeColor="text1"/>
          <w:lang w:val="en-GB"/>
        </w:rPr>
        <w:t>83</w:t>
      </w:r>
      <w:r w:rsidR="00E92DED" w:rsidRPr="00B62920">
        <w:rPr>
          <w:color w:val="000000" w:themeColor="text1"/>
          <w:lang w:val="en-GB"/>
        </w:rPr>
        <w:fldChar w:fldCharType="end"/>
      </w:r>
      <w:r w:rsidR="00E92DED" w:rsidRPr="00B62920">
        <w:rPr>
          <w:color w:val="000000" w:themeColor="text1"/>
          <w:lang w:val="en-GB"/>
        </w:rPr>
        <w:t xml:space="preserve"> above, at § 11.4, and ECtHR,</w:t>
      </w:r>
      <w:r w:rsidR="00E92DED" w:rsidRPr="00B62920">
        <w:rPr>
          <w:i/>
        </w:rPr>
        <w:t xml:space="preserve"> Aslakhanova and Others v. Russia</w:t>
      </w:r>
      <w:r w:rsidR="00E92DED" w:rsidRPr="00B62920">
        <w:rPr>
          <w:color w:val="000000" w:themeColor="text1"/>
          <w:lang w:val="en-GB"/>
        </w:rPr>
        <w:t>,</w:t>
      </w:r>
      <w:r w:rsidR="00E92DED" w:rsidRPr="00B62920">
        <w:t xml:space="preserve"> cited in</w:t>
      </w:r>
      <w:r w:rsidR="00E92DED" w:rsidRPr="00B62920">
        <w:rPr>
          <w:color w:val="000000" w:themeColor="text1"/>
          <w:lang w:val="en-GB"/>
        </w:rPr>
        <w:t xml:space="preserve"> § </w:t>
      </w:r>
      <w:r w:rsidR="00E92DED" w:rsidRPr="00B62920">
        <w:rPr>
          <w:color w:val="000000" w:themeColor="text1"/>
          <w:lang w:val="en-GB"/>
        </w:rPr>
        <w:fldChar w:fldCharType="begin"/>
      </w:r>
      <w:r w:rsidR="00E92DED" w:rsidRPr="00B62920">
        <w:rPr>
          <w:color w:val="000000" w:themeColor="text1"/>
          <w:lang w:val="en-GB"/>
        </w:rPr>
        <w:instrText xml:space="preserve"> REF _Ref373950745 \r \h  \* MERGEFORMAT </w:instrText>
      </w:r>
      <w:r w:rsidR="00E92DED" w:rsidRPr="00B62920">
        <w:rPr>
          <w:color w:val="000000" w:themeColor="text1"/>
          <w:lang w:val="en-GB"/>
        </w:rPr>
      </w:r>
      <w:r w:rsidR="00E92DED" w:rsidRPr="00B62920">
        <w:rPr>
          <w:color w:val="000000" w:themeColor="text1"/>
          <w:lang w:val="en-GB"/>
        </w:rPr>
        <w:fldChar w:fldCharType="separate"/>
      </w:r>
      <w:r w:rsidR="00B52E51">
        <w:rPr>
          <w:color w:val="000000" w:themeColor="text1"/>
          <w:lang w:val="en-GB"/>
        </w:rPr>
        <w:t>74</w:t>
      </w:r>
      <w:r w:rsidR="00E92DED" w:rsidRPr="00B62920">
        <w:rPr>
          <w:color w:val="000000" w:themeColor="text1"/>
          <w:lang w:val="en-GB"/>
        </w:rPr>
        <w:fldChar w:fldCharType="end"/>
      </w:r>
      <w:r w:rsidR="00E92DED" w:rsidRPr="00B62920">
        <w:rPr>
          <w:color w:val="000000" w:themeColor="text1"/>
          <w:lang w:val="en-GB"/>
        </w:rPr>
        <w:t xml:space="preserve"> above § 123; HRAP, </w:t>
      </w:r>
      <w:r w:rsidR="00E92DED" w:rsidRPr="00B62920">
        <w:rPr>
          <w:i/>
          <w:color w:val="000000" w:themeColor="text1"/>
          <w:lang w:val="en-GB"/>
        </w:rPr>
        <w:t>Bulatović</w:t>
      </w:r>
      <w:r w:rsidR="00E92DED" w:rsidRPr="00B62920">
        <w:rPr>
          <w:color w:val="000000" w:themeColor="text1"/>
          <w:lang w:val="en-GB"/>
        </w:rPr>
        <w:t xml:space="preserve">, cited in § </w:t>
      </w:r>
      <w:r w:rsidR="00E92DED" w:rsidRPr="00B62920">
        <w:rPr>
          <w:color w:val="000000" w:themeColor="text1"/>
          <w:lang w:val="en-GB"/>
        </w:rPr>
        <w:fldChar w:fldCharType="begin"/>
      </w:r>
      <w:r w:rsidR="00E92DED" w:rsidRPr="00B62920">
        <w:rPr>
          <w:color w:val="000000" w:themeColor="text1"/>
          <w:lang w:val="en-GB"/>
        </w:rPr>
        <w:instrText xml:space="preserve"> REF _Ref409786758 \r \h </w:instrText>
      </w:r>
      <w:r w:rsidR="0090189C" w:rsidRPr="00B62920">
        <w:rPr>
          <w:color w:val="000000" w:themeColor="text1"/>
          <w:lang w:val="en-GB"/>
        </w:rPr>
        <w:instrText xml:space="preserve"> \* MERGEFORMAT </w:instrText>
      </w:r>
      <w:r w:rsidR="00E92DED" w:rsidRPr="00B62920">
        <w:rPr>
          <w:color w:val="000000" w:themeColor="text1"/>
          <w:lang w:val="en-GB"/>
        </w:rPr>
      </w:r>
      <w:r w:rsidR="00E92DED" w:rsidRPr="00B62920">
        <w:rPr>
          <w:color w:val="000000" w:themeColor="text1"/>
          <w:lang w:val="en-GB"/>
        </w:rPr>
        <w:fldChar w:fldCharType="separate"/>
      </w:r>
      <w:r w:rsidR="00B52E51">
        <w:rPr>
          <w:color w:val="000000" w:themeColor="text1"/>
          <w:lang w:val="en-GB"/>
        </w:rPr>
        <w:t>60</w:t>
      </w:r>
      <w:r w:rsidR="00E92DED" w:rsidRPr="00B62920">
        <w:rPr>
          <w:color w:val="000000" w:themeColor="text1"/>
          <w:lang w:val="en-GB"/>
        </w:rPr>
        <w:fldChar w:fldCharType="end"/>
      </w:r>
      <w:r w:rsidR="00E92DED" w:rsidRPr="00B62920">
        <w:rPr>
          <w:color w:val="000000" w:themeColor="text1"/>
          <w:lang w:val="en-GB"/>
        </w:rPr>
        <w:t xml:space="preserve"> above, at §§ 85 and 101).</w:t>
      </w:r>
    </w:p>
    <w:p w:rsidR="00E92DED" w:rsidRPr="00B62920" w:rsidRDefault="00E92DED" w:rsidP="00E92DED">
      <w:pPr>
        <w:pStyle w:val="ListParagraph"/>
        <w:rPr>
          <w:lang w:val="en-GB"/>
        </w:rPr>
      </w:pPr>
    </w:p>
    <w:p w:rsidR="00E92DED" w:rsidRPr="00B62920" w:rsidRDefault="00E92DED" w:rsidP="00E92DED">
      <w:pPr>
        <w:numPr>
          <w:ilvl w:val="0"/>
          <w:numId w:val="2"/>
        </w:numPr>
        <w:tabs>
          <w:tab w:val="clear" w:pos="360"/>
          <w:tab w:val="left" w:pos="709"/>
        </w:tabs>
        <w:suppressAutoHyphens/>
        <w:autoSpaceDE w:val="0"/>
        <w:ind w:left="450" w:hanging="450"/>
        <w:jc w:val="both"/>
        <w:rPr>
          <w:lang w:val="en-GB"/>
        </w:rPr>
      </w:pPr>
      <w:r w:rsidRPr="00B62920">
        <w:rPr>
          <w:lang w:val="en-GB"/>
        </w:rPr>
        <w:t xml:space="preserve">Therefore, the Panel concludes that UNMIK failed to carry out an </w:t>
      </w:r>
      <w:r w:rsidRPr="00B62920">
        <w:rPr>
          <w:lang w:val="en-GB" w:eastAsia="en-GB"/>
        </w:rPr>
        <w:t>effective</w:t>
      </w:r>
      <w:r w:rsidRPr="00B62920">
        <w:rPr>
          <w:lang w:val="en-GB"/>
        </w:rPr>
        <w:t xml:space="preserve"> investigation into the</w:t>
      </w:r>
      <w:r w:rsidR="00874A40" w:rsidRPr="00B62920">
        <w:rPr>
          <w:lang w:val="en-GB"/>
        </w:rPr>
        <w:t xml:space="preserve"> </w:t>
      </w:r>
      <w:r w:rsidR="001F0511" w:rsidRPr="00B62920">
        <w:rPr>
          <w:lang w:val="en-GB"/>
        </w:rPr>
        <w:t>disappearance</w:t>
      </w:r>
      <w:r w:rsidRPr="00B62920">
        <w:rPr>
          <w:lang w:val="en-GB"/>
        </w:rPr>
        <w:t xml:space="preserve"> </w:t>
      </w:r>
      <w:r w:rsidRPr="00B62920">
        <w:rPr>
          <w:bCs/>
          <w:lang w:val="en-GB"/>
        </w:rPr>
        <w:t xml:space="preserve">of </w:t>
      </w:r>
      <w:r w:rsidR="00D03F27" w:rsidRPr="00B62920">
        <w:t xml:space="preserve">Mr Duško </w:t>
      </w:r>
      <w:r w:rsidR="00D03F27" w:rsidRPr="00B62920">
        <w:rPr>
          <w:lang w:val="en-GB"/>
        </w:rPr>
        <w:t>Karanović</w:t>
      </w:r>
      <w:r w:rsidRPr="00B62920">
        <w:t xml:space="preserve">. </w:t>
      </w:r>
      <w:r w:rsidRPr="00B62920">
        <w:rPr>
          <w:lang w:val="en-GB"/>
        </w:rPr>
        <w:t xml:space="preserve">There </w:t>
      </w:r>
      <w:r w:rsidRPr="00B62920">
        <w:rPr>
          <w:lang w:val="en-GB" w:eastAsia="en-GB"/>
        </w:rPr>
        <w:t>has</w:t>
      </w:r>
      <w:r w:rsidRPr="00B62920">
        <w:rPr>
          <w:lang w:val="en-GB"/>
        </w:rPr>
        <w:t xml:space="preserve"> accordingly been a violation of Article 2, procedural limb, of the ECHR. </w:t>
      </w:r>
    </w:p>
    <w:p w:rsidR="00711F6E" w:rsidRPr="00B62920" w:rsidRDefault="00711F6E" w:rsidP="00E92DED">
      <w:pPr>
        <w:tabs>
          <w:tab w:val="left" w:pos="709"/>
        </w:tabs>
        <w:suppressAutoHyphens/>
        <w:autoSpaceDE w:val="0"/>
        <w:ind w:left="360"/>
        <w:jc w:val="both"/>
        <w:rPr>
          <w:lang w:val="en-GB"/>
        </w:rPr>
      </w:pPr>
    </w:p>
    <w:p w:rsidR="00711F6E" w:rsidRPr="00B62920" w:rsidRDefault="00711F6E" w:rsidP="00711F6E">
      <w:pPr>
        <w:pStyle w:val="ListParagraph"/>
        <w:numPr>
          <w:ilvl w:val="0"/>
          <w:numId w:val="4"/>
        </w:numPr>
        <w:tabs>
          <w:tab w:val="left" w:pos="709"/>
        </w:tabs>
        <w:autoSpaceDE w:val="0"/>
        <w:jc w:val="both"/>
        <w:rPr>
          <w:lang w:val="en-GB"/>
        </w:rPr>
      </w:pPr>
      <w:r w:rsidRPr="00B62920">
        <w:rPr>
          <w:b/>
          <w:color w:val="000000" w:themeColor="text1"/>
          <w:lang w:val="en-GB"/>
        </w:rPr>
        <w:t>Alleged violation of Article 3 of the ECHR</w:t>
      </w:r>
    </w:p>
    <w:p w:rsidR="00711F6E" w:rsidRPr="00B62920" w:rsidRDefault="00711F6E" w:rsidP="00711F6E">
      <w:pPr>
        <w:pStyle w:val="ListParagraph"/>
        <w:rPr>
          <w:color w:val="000000" w:themeColor="text1"/>
          <w:lang w:val="en-GB"/>
        </w:rPr>
      </w:pPr>
    </w:p>
    <w:p w:rsidR="00711F6E" w:rsidRPr="00B62920" w:rsidRDefault="00711F6E" w:rsidP="00711F6E">
      <w:pPr>
        <w:numPr>
          <w:ilvl w:val="0"/>
          <w:numId w:val="2"/>
        </w:numPr>
        <w:tabs>
          <w:tab w:val="clear" w:pos="360"/>
          <w:tab w:val="left" w:pos="709"/>
        </w:tabs>
        <w:suppressAutoHyphens/>
        <w:autoSpaceDE w:val="0"/>
        <w:ind w:left="450" w:hanging="450"/>
        <w:jc w:val="both"/>
        <w:rPr>
          <w:lang w:val="en-GB"/>
        </w:rPr>
      </w:pPr>
      <w:r w:rsidRPr="00B62920">
        <w:rPr>
          <w:color w:val="000000" w:themeColor="text1"/>
          <w:lang w:val="en-GB"/>
        </w:rPr>
        <w:t xml:space="preserve">The Panel </w:t>
      </w:r>
      <w:r w:rsidRPr="00B62920">
        <w:rPr>
          <w:bCs/>
          <w:color w:val="000000" w:themeColor="text1"/>
        </w:rPr>
        <w:t>considers</w:t>
      </w:r>
      <w:r w:rsidRPr="00B62920">
        <w:rPr>
          <w:color w:val="000000" w:themeColor="text1"/>
          <w:lang w:val="en-GB"/>
        </w:rPr>
        <w:t xml:space="preserve"> that the complainant invokes, in substance, a violation of the right to be free from inhumane or degrading treatment arising out of the </w:t>
      </w:r>
      <w:r w:rsidR="001F0511" w:rsidRPr="00B62920">
        <w:rPr>
          <w:color w:val="000000" w:themeColor="text1"/>
          <w:lang w:val="en-GB"/>
        </w:rPr>
        <w:t>disappearance</w:t>
      </w:r>
      <w:r w:rsidR="00994974" w:rsidRPr="00B62920">
        <w:rPr>
          <w:color w:val="000000" w:themeColor="text1"/>
          <w:lang w:val="en-GB"/>
        </w:rPr>
        <w:t xml:space="preserve"> </w:t>
      </w:r>
      <w:r w:rsidR="00D03F27" w:rsidRPr="00B62920">
        <w:rPr>
          <w:color w:val="000000" w:themeColor="text1"/>
          <w:lang w:val="en-GB"/>
        </w:rPr>
        <w:t>of her</w:t>
      </w:r>
      <w:r w:rsidRPr="00B62920">
        <w:rPr>
          <w:color w:val="000000" w:themeColor="text1"/>
          <w:lang w:val="en-GB"/>
        </w:rPr>
        <w:t xml:space="preserve"> </w:t>
      </w:r>
      <w:r w:rsidR="00D03F27" w:rsidRPr="00B62920">
        <w:rPr>
          <w:color w:val="000000" w:themeColor="text1"/>
          <w:lang w:val="en-GB"/>
        </w:rPr>
        <w:t>brother</w:t>
      </w:r>
      <w:r w:rsidRPr="00B62920">
        <w:rPr>
          <w:color w:val="000000" w:themeColor="text1"/>
          <w:lang w:val="en-GB"/>
        </w:rPr>
        <w:t xml:space="preserve">, as guaranteed by Article 3 of the ECHR. </w:t>
      </w:r>
    </w:p>
    <w:p w:rsidR="00711F6E" w:rsidRPr="00B62920" w:rsidRDefault="00711F6E" w:rsidP="00711F6E">
      <w:pPr>
        <w:tabs>
          <w:tab w:val="left" w:pos="709"/>
        </w:tabs>
        <w:suppressAutoHyphens/>
        <w:autoSpaceDE w:val="0"/>
        <w:ind w:left="450"/>
        <w:jc w:val="both"/>
        <w:rPr>
          <w:color w:val="000000" w:themeColor="text1"/>
          <w:lang w:val="en-GB"/>
        </w:rPr>
      </w:pPr>
    </w:p>
    <w:p w:rsidR="00711F6E" w:rsidRPr="00B62920" w:rsidRDefault="00711F6E" w:rsidP="00711F6E">
      <w:pPr>
        <w:pStyle w:val="ListParagraph1"/>
        <w:numPr>
          <w:ilvl w:val="0"/>
          <w:numId w:val="17"/>
        </w:numPr>
        <w:jc w:val="both"/>
        <w:rPr>
          <w:b/>
          <w:color w:val="000000" w:themeColor="text1"/>
        </w:rPr>
      </w:pPr>
      <w:r w:rsidRPr="00B62920">
        <w:rPr>
          <w:b/>
          <w:color w:val="000000" w:themeColor="text1"/>
        </w:rPr>
        <w:t xml:space="preserve">The scope of the Panel’s review </w:t>
      </w:r>
    </w:p>
    <w:p w:rsidR="00711F6E" w:rsidRPr="00B62920" w:rsidRDefault="00711F6E" w:rsidP="00AD7F08">
      <w:pPr>
        <w:tabs>
          <w:tab w:val="left" w:pos="709"/>
        </w:tabs>
        <w:suppressAutoHyphens/>
        <w:autoSpaceDE w:val="0"/>
        <w:jc w:val="both"/>
        <w:rPr>
          <w:lang w:val="en-GB"/>
        </w:rPr>
      </w:pPr>
    </w:p>
    <w:p w:rsidR="00711F6E" w:rsidRPr="00B62920" w:rsidRDefault="00711F6E" w:rsidP="00711F6E">
      <w:pPr>
        <w:numPr>
          <w:ilvl w:val="0"/>
          <w:numId w:val="2"/>
        </w:numPr>
        <w:tabs>
          <w:tab w:val="clear" w:pos="360"/>
          <w:tab w:val="left" w:pos="709"/>
        </w:tabs>
        <w:suppressAutoHyphens/>
        <w:autoSpaceDE w:val="0"/>
        <w:ind w:left="450" w:hanging="450"/>
        <w:jc w:val="both"/>
        <w:rPr>
          <w:lang w:val="en-GB"/>
        </w:rPr>
      </w:pPr>
      <w:r w:rsidRPr="00B62920">
        <w:rPr>
          <w:color w:val="000000" w:themeColor="text1"/>
          <w:lang w:val="en-GB"/>
        </w:rPr>
        <w:t xml:space="preserve">The Panel will consider </w:t>
      </w:r>
      <w:r w:rsidRPr="00B62920">
        <w:rPr>
          <w:bCs/>
          <w:color w:val="000000" w:themeColor="text1"/>
        </w:rPr>
        <w:t>the</w:t>
      </w:r>
      <w:r w:rsidRPr="00B62920">
        <w:rPr>
          <w:color w:val="000000" w:themeColor="text1"/>
          <w:lang w:val="en-GB"/>
        </w:rPr>
        <w:t xml:space="preserve"> allegations under Article 3 of the ECHR, applying the same scope of review as was set out with regard to Article 2 (see §§ </w:t>
      </w:r>
      <w:r w:rsidRPr="00B62920">
        <w:fldChar w:fldCharType="begin"/>
      </w:r>
      <w:r w:rsidRPr="00B62920">
        <w:rPr>
          <w:color w:val="000000" w:themeColor="text1"/>
          <w:lang w:val="en-GB"/>
        </w:rPr>
        <w:instrText xml:space="preserve"> REF _Ref409020267 \r \h </w:instrText>
      </w:r>
      <w:r w:rsidR="000D2756" w:rsidRPr="00B62920">
        <w:instrText xml:space="preserve"> \* MERGEFORMAT </w:instrText>
      </w:r>
      <w:r w:rsidRPr="00B62920">
        <w:fldChar w:fldCharType="separate"/>
      </w:r>
      <w:r w:rsidR="00B52E51">
        <w:rPr>
          <w:color w:val="000000" w:themeColor="text1"/>
          <w:lang w:val="en-GB"/>
        </w:rPr>
        <w:t>35</w:t>
      </w:r>
      <w:r w:rsidRPr="00B62920">
        <w:fldChar w:fldCharType="end"/>
      </w:r>
      <w:r w:rsidRPr="00B62920">
        <w:rPr>
          <w:color w:val="000000" w:themeColor="text1"/>
          <w:lang w:val="en-GB"/>
        </w:rPr>
        <w:t xml:space="preserve"> - </w:t>
      </w:r>
      <w:r w:rsidRPr="00B62920">
        <w:fldChar w:fldCharType="begin"/>
      </w:r>
      <w:r w:rsidRPr="00B62920">
        <w:rPr>
          <w:color w:val="000000" w:themeColor="text1"/>
          <w:lang w:val="en-GB"/>
        </w:rPr>
        <w:instrText xml:space="preserve"> REF _Ref409020276 \r \h </w:instrText>
      </w:r>
      <w:r w:rsidR="000D2756" w:rsidRPr="00B62920">
        <w:instrText xml:space="preserve"> \* MERGEFORMAT </w:instrText>
      </w:r>
      <w:r w:rsidRPr="00B62920">
        <w:fldChar w:fldCharType="separate"/>
      </w:r>
      <w:r w:rsidR="00B52E51">
        <w:rPr>
          <w:color w:val="000000" w:themeColor="text1"/>
          <w:lang w:val="en-GB"/>
        </w:rPr>
        <w:t>39</w:t>
      </w:r>
      <w:r w:rsidRPr="00B62920">
        <w:fldChar w:fldCharType="end"/>
      </w:r>
      <w:r w:rsidRPr="00B62920">
        <w:rPr>
          <w:color w:val="000000" w:themeColor="text1"/>
          <w:lang w:val="en-GB"/>
        </w:rPr>
        <w:t xml:space="preserve"> above).</w:t>
      </w:r>
      <w:bookmarkStart w:id="111" w:name="_Ref374623030"/>
    </w:p>
    <w:p w:rsidR="00711F6E" w:rsidRPr="00B62920" w:rsidRDefault="00711F6E" w:rsidP="00711F6E">
      <w:pPr>
        <w:tabs>
          <w:tab w:val="left" w:pos="709"/>
        </w:tabs>
        <w:suppressAutoHyphens/>
        <w:autoSpaceDE w:val="0"/>
        <w:ind w:left="450"/>
        <w:jc w:val="both"/>
        <w:rPr>
          <w:lang w:val="en-GB"/>
        </w:rPr>
      </w:pPr>
    </w:p>
    <w:p w:rsidR="00711F6E" w:rsidRPr="00B62920" w:rsidRDefault="00711F6E" w:rsidP="00711F6E">
      <w:pPr>
        <w:numPr>
          <w:ilvl w:val="0"/>
          <w:numId w:val="2"/>
        </w:numPr>
        <w:tabs>
          <w:tab w:val="clear" w:pos="360"/>
          <w:tab w:val="left" w:pos="709"/>
        </w:tabs>
        <w:suppressAutoHyphens/>
        <w:autoSpaceDE w:val="0"/>
        <w:ind w:left="450" w:hanging="450"/>
        <w:jc w:val="both"/>
        <w:rPr>
          <w:lang w:val="en-GB"/>
        </w:rPr>
      </w:pPr>
      <w:r w:rsidRPr="00B62920">
        <w:rPr>
          <w:color w:val="000000" w:themeColor="text1"/>
          <w:lang w:val="en-GB"/>
        </w:rPr>
        <w:t xml:space="preserve">The Panel recalls that the European Court of Human Rights has found on many occasions that a situation of </w:t>
      </w:r>
      <w:r w:rsidRPr="00B62920">
        <w:rPr>
          <w:bCs/>
          <w:color w:val="000000" w:themeColor="text1"/>
        </w:rPr>
        <w:t>enforced</w:t>
      </w:r>
      <w:r w:rsidRPr="00B62920">
        <w:rPr>
          <w:color w:val="000000" w:themeColor="text1"/>
          <w:lang w:val="en-GB"/>
        </w:rPr>
        <w:t xml:space="preserve"> disappearance gives rise to a violation of Article 3 in respect of close relatives of the victim. It emphasises that, concerning Article 3, “the essence of such a violation does not so much lie in the fact of the ‘disappearance’ of the family member but rather concerns the authorities’ reactions and attitudes to the situation when it is brought to their attention” (see, e.g., ECtHR [GC], </w:t>
      </w:r>
      <w:r w:rsidRPr="00B62920">
        <w:rPr>
          <w:i/>
          <w:color w:val="000000" w:themeColor="text1"/>
          <w:lang w:val="en-GB"/>
        </w:rPr>
        <w:t>Çakici v. Turkey</w:t>
      </w:r>
      <w:r w:rsidRPr="00B62920">
        <w:rPr>
          <w:color w:val="000000" w:themeColor="text1"/>
          <w:lang w:val="en-GB"/>
        </w:rPr>
        <w:t xml:space="preserve">, no. 23657/94, judgment of 8 July 1999, § 98, </w:t>
      </w:r>
      <w:r w:rsidRPr="00B62920">
        <w:rPr>
          <w:i/>
          <w:color w:val="000000" w:themeColor="text1"/>
          <w:lang w:val="en-GB"/>
        </w:rPr>
        <w:t>ECHR</w:t>
      </w:r>
      <w:r w:rsidRPr="00B62920">
        <w:rPr>
          <w:color w:val="000000" w:themeColor="text1"/>
          <w:lang w:val="en-GB"/>
        </w:rPr>
        <w:t xml:space="preserve">, 1999-IV; ECtHR [GC], </w:t>
      </w:r>
      <w:r w:rsidRPr="00B62920">
        <w:rPr>
          <w:i/>
          <w:color w:val="000000" w:themeColor="text1"/>
          <w:lang w:val="en-GB"/>
        </w:rPr>
        <w:t>Cyprus v. Turkey</w:t>
      </w:r>
      <w:r w:rsidRPr="00B62920">
        <w:rPr>
          <w:color w:val="000000" w:themeColor="text1"/>
          <w:lang w:val="en-GB"/>
        </w:rPr>
        <w:t>, no. 25781/94, judgment of 10 May 2001, § 156,</w:t>
      </w:r>
      <w:r w:rsidRPr="00B62920">
        <w:rPr>
          <w:i/>
          <w:color w:val="000000" w:themeColor="text1"/>
          <w:lang w:val="en-GB"/>
        </w:rPr>
        <w:t xml:space="preserve"> ECHR</w:t>
      </w:r>
      <w:r w:rsidRPr="00B62920">
        <w:rPr>
          <w:color w:val="000000" w:themeColor="text1"/>
          <w:lang w:val="en-GB"/>
        </w:rPr>
        <w:t xml:space="preserve">, 2001-IV; ECtHR, </w:t>
      </w:r>
      <w:r w:rsidRPr="00B62920">
        <w:rPr>
          <w:i/>
          <w:color w:val="000000" w:themeColor="text1"/>
          <w:lang w:val="en-GB"/>
        </w:rPr>
        <w:t>Orhan v. Turkey</w:t>
      </w:r>
      <w:r w:rsidRPr="00B62920">
        <w:rPr>
          <w:color w:val="000000" w:themeColor="text1"/>
          <w:lang w:val="en-GB"/>
        </w:rPr>
        <w:t xml:space="preserve">, no. 25656/94, judgment of 18 June 2002, § 358; ECtHR, </w:t>
      </w:r>
      <w:r w:rsidRPr="00B62920">
        <w:rPr>
          <w:i/>
          <w:color w:val="000000" w:themeColor="text1"/>
          <w:lang w:val="en-GB"/>
        </w:rPr>
        <w:t>Bazorkina v. Russia</w:t>
      </w:r>
      <w:r w:rsidRPr="00B62920">
        <w:rPr>
          <w:color w:val="000000" w:themeColor="text1"/>
          <w:lang w:val="en-GB"/>
        </w:rPr>
        <w:t xml:space="preserve">, cited in § </w:t>
      </w:r>
      <w:r w:rsidR="00FC30AF" w:rsidRPr="00B62920">
        <w:fldChar w:fldCharType="begin"/>
      </w:r>
      <w:r w:rsidR="00FC30AF" w:rsidRPr="00B62920">
        <w:rPr>
          <w:color w:val="000000" w:themeColor="text1"/>
          <w:lang w:val="en-GB"/>
        </w:rPr>
        <w:instrText xml:space="preserve"> REF _Ref366241459 \r \h </w:instrText>
      </w:r>
      <w:r w:rsidR="000D2756" w:rsidRPr="00B62920">
        <w:instrText xml:space="preserve"> \* MERGEFORMAT </w:instrText>
      </w:r>
      <w:r w:rsidR="00FC30AF" w:rsidRPr="00B62920">
        <w:fldChar w:fldCharType="separate"/>
      </w:r>
      <w:r w:rsidR="00B52E51">
        <w:rPr>
          <w:color w:val="000000" w:themeColor="text1"/>
          <w:lang w:val="en-GB"/>
        </w:rPr>
        <w:t>82</w:t>
      </w:r>
      <w:r w:rsidR="00FC30AF" w:rsidRPr="00B62920">
        <w:fldChar w:fldCharType="end"/>
      </w:r>
      <w:r w:rsidR="00FC30AF" w:rsidRPr="00B62920">
        <w:t xml:space="preserve"> </w:t>
      </w:r>
      <w:r w:rsidRPr="00B62920">
        <w:rPr>
          <w:color w:val="000000" w:themeColor="text1"/>
          <w:lang w:val="en-GB"/>
        </w:rPr>
        <w:t xml:space="preserve">above, at § 139; ECtHR, </w:t>
      </w:r>
      <w:r w:rsidRPr="00B62920">
        <w:rPr>
          <w:i/>
          <w:color w:val="000000" w:themeColor="text1"/>
          <w:lang w:val="en-GB"/>
        </w:rPr>
        <w:t>Palić v. Bosnia and Herzegovina,</w:t>
      </w:r>
      <w:r w:rsidRPr="00B62920">
        <w:rPr>
          <w:color w:val="000000" w:themeColor="text1"/>
          <w:lang w:val="en-GB"/>
        </w:rPr>
        <w:t xml:space="preserve"> cited in § </w:t>
      </w:r>
      <w:r w:rsidR="00FC30AF" w:rsidRPr="00B62920">
        <w:fldChar w:fldCharType="begin"/>
      </w:r>
      <w:r w:rsidR="00FC30AF" w:rsidRPr="00B62920">
        <w:rPr>
          <w:color w:val="000000" w:themeColor="text1"/>
          <w:lang w:val="en-GB"/>
        </w:rPr>
        <w:instrText xml:space="preserve"> REF _Ref366239979 \r \h </w:instrText>
      </w:r>
      <w:r w:rsidR="000D2756" w:rsidRPr="00B62920">
        <w:instrText xml:space="preserve"> \* MERGEFORMAT </w:instrText>
      </w:r>
      <w:r w:rsidR="00FC30AF" w:rsidRPr="00B62920">
        <w:fldChar w:fldCharType="separate"/>
      </w:r>
      <w:r w:rsidR="00B52E51">
        <w:rPr>
          <w:color w:val="000000" w:themeColor="text1"/>
          <w:lang w:val="en-GB"/>
        </w:rPr>
        <w:t>71</w:t>
      </w:r>
      <w:r w:rsidR="00FC30AF" w:rsidRPr="00B62920">
        <w:fldChar w:fldCharType="end"/>
      </w:r>
      <w:r w:rsidRPr="00B62920">
        <w:rPr>
          <w:color w:val="000000" w:themeColor="text1"/>
          <w:lang w:val="en-GB"/>
        </w:rPr>
        <w:t xml:space="preserve"> above, at § 74; ECtHR, </w:t>
      </w:r>
      <w:r w:rsidRPr="00B62920">
        <w:rPr>
          <w:i/>
          <w:color w:val="000000" w:themeColor="text1"/>
          <w:lang w:val="en-GB"/>
        </w:rPr>
        <w:t>Alpatu Israilova v. Russia</w:t>
      </w:r>
      <w:r w:rsidRPr="00B62920">
        <w:rPr>
          <w:color w:val="000000" w:themeColor="text1"/>
          <w:lang w:val="en-GB"/>
        </w:rPr>
        <w:t xml:space="preserve">, no. 15438/05, judgment of 14 March 2013, § 69; see also HRAP, </w:t>
      </w:r>
      <w:r w:rsidRPr="00B62920">
        <w:rPr>
          <w:i/>
          <w:color w:val="000000" w:themeColor="text1"/>
          <w:lang w:val="en-GB"/>
        </w:rPr>
        <w:t>Zdravković</w:t>
      </w:r>
      <w:r w:rsidRPr="00B62920">
        <w:rPr>
          <w:color w:val="000000" w:themeColor="text1"/>
          <w:lang w:val="en-GB"/>
        </w:rPr>
        <w:t xml:space="preserve">, no. 46/08, decision of 17 April 2009, § 41). “It is especially in respect of the latter that a relative may claim directly to be a victim of the authorities’ conduct” (see, among others, ECtHR, </w:t>
      </w:r>
      <w:r w:rsidRPr="00B62920">
        <w:rPr>
          <w:i/>
          <w:color w:val="000000" w:themeColor="text1"/>
          <w:lang w:val="en-GB"/>
        </w:rPr>
        <w:t>Er and Others v. Turkey</w:t>
      </w:r>
      <w:r w:rsidRPr="00B62920">
        <w:rPr>
          <w:color w:val="000000" w:themeColor="text1"/>
          <w:lang w:val="en-GB"/>
        </w:rPr>
        <w:t>, no. 23016/04, judgment of 31 July 2012, § 94).</w:t>
      </w:r>
      <w:bookmarkStart w:id="112" w:name="_Ref374623316"/>
      <w:bookmarkEnd w:id="111"/>
    </w:p>
    <w:p w:rsidR="00711F6E" w:rsidRPr="00B62920" w:rsidRDefault="00711F6E" w:rsidP="00711F6E">
      <w:pPr>
        <w:tabs>
          <w:tab w:val="left" w:pos="709"/>
        </w:tabs>
        <w:suppressAutoHyphens/>
        <w:autoSpaceDE w:val="0"/>
        <w:ind w:left="450"/>
        <w:jc w:val="both"/>
        <w:rPr>
          <w:lang w:val="en-GB"/>
        </w:rPr>
      </w:pPr>
    </w:p>
    <w:p w:rsidR="00711F6E" w:rsidRPr="00B62920" w:rsidRDefault="00711F6E" w:rsidP="00711F6E">
      <w:pPr>
        <w:numPr>
          <w:ilvl w:val="0"/>
          <w:numId w:val="2"/>
        </w:numPr>
        <w:tabs>
          <w:tab w:val="clear" w:pos="360"/>
          <w:tab w:val="left" w:pos="709"/>
        </w:tabs>
        <w:suppressAutoHyphens/>
        <w:autoSpaceDE w:val="0"/>
        <w:ind w:left="450" w:hanging="450"/>
        <w:jc w:val="both"/>
        <w:rPr>
          <w:lang w:val="en-GB"/>
        </w:rPr>
      </w:pPr>
      <w:r w:rsidRPr="00B62920">
        <w:rPr>
          <w:color w:val="000000" w:themeColor="text1"/>
          <w:lang w:val="en-GB"/>
        </w:rPr>
        <w:t xml:space="preserve">Lastly, where  </w:t>
      </w:r>
      <w:r w:rsidRPr="00B62920">
        <w:rPr>
          <w:bCs/>
          <w:color w:val="000000" w:themeColor="text1"/>
        </w:rPr>
        <w:t>mental</w:t>
      </w:r>
      <w:r w:rsidRPr="00B62920">
        <w:rPr>
          <w:color w:val="000000" w:themeColor="text1"/>
          <w:lang w:val="en-GB"/>
        </w:rPr>
        <w:t xml:space="preserve"> suffering caused by the authorities’ reactions to the disappearance is at stake, the alleged violation is contrary to the substantive element of Article 3 of the ECHR, not its procedural element, as is the case with regard to Article 2 (ECtHR, </w:t>
      </w:r>
      <w:r w:rsidRPr="00B62920">
        <w:rPr>
          <w:i/>
          <w:color w:val="000000" w:themeColor="text1"/>
          <w:lang w:val="en-GB"/>
        </w:rPr>
        <w:t>Gelayevy v. Russia</w:t>
      </w:r>
      <w:r w:rsidRPr="00B62920">
        <w:rPr>
          <w:color w:val="000000" w:themeColor="text1"/>
          <w:lang w:val="en-GB"/>
        </w:rPr>
        <w:t>, no. 20216/07, judgment of 15 July 2010, §§ 147 - 148).</w:t>
      </w:r>
      <w:bookmarkEnd w:id="112"/>
    </w:p>
    <w:p w:rsidR="00711F6E" w:rsidRPr="00B62920" w:rsidRDefault="00711F6E" w:rsidP="00711F6E">
      <w:pPr>
        <w:pStyle w:val="ListParagraph1"/>
        <w:ind w:left="0"/>
        <w:jc w:val="both"/>
        <w:rPr>
          <w:b/>
          <w:color w:val="000000" w:themeColor="text1"/>
        </w:rPr>
      </w:pPr>
    </w:p>
    <w:p w:rsidR="00711F6E" w:rsidRPr="00B62920" w:rsidRDefault="00711F6E" w:rsidP="00711F6E">
      <w:pPr>
        <w:pStyle w:val="ListParagraph1"/>
        <w:numPr>
          <w:ilvl w:val="0"/>
          <w:numId w:val="17"/>
        </w:numPr>
        <w:jc w:val="both"/>
        <w:rPr>
          <w:b/>
          <w:color w:val="000000" w:themeColor="text1"/>
        </w:rPr>
      </w:pPr>
      <w:r w:rsidRPr="00B62920">
        <w:rPr>
          <w:b/>
          <w:color w:val="000000" w:themeColor="text1"/>
        </w:rPr>
        <w:t xml:space="preserve">The Parties’ submissions </w:t>
      </w:r>
    </w:p>
    <w:p w:rsidR="00711F6E" w:rsidRPr="00B62920" w:rsidRDefault="00711F6E" w:rsidP="00711F6E">
      <w:pPr>
        <w:suppressAutoHyphens/>
        <w:autoSpaceDE w:val="0"/>
        <w:ind w:left="360"/>
        <w:jc w:val="both"/>
        <w:rPr>
          <w:color w:val="000000" w:themeColor="text1"/>
          <w:lang w:val="en-GB"/>
        </w:rPr>
      </w:pPr>
    </w:p>
    <w:p w:rsidR="00711F6E" w:rsidRPr="00B62920" w:rsidRDefault="00711F6E" w:rsidP="00B43D05">
      <w:pPr>
        <w:numPr>
          <w:ilvl w:val="0"/>
          <w:numId w:val="2"/>
        </w:numPr>
        <w:tabs>
          <w:tab w:val="clear" w:pos="360"/>
          <w:tab w:val="left" w:pos="709"/>
        </w:tabs>
        <w:suppressAutoHyphens/>
        <w:autoSpaceDE w:val="0"/>
        <w:ind w:left="450" w:hanging="450"/>
        <w:jc w:val="both"/>
        <w:rPr>
          <w:color w:val="000000" w:themeColor="text1"/>
          <w:lang w:val="en-GB"/>
        </w:rPr>
      </w:pPr>
      <w:r w:rsidRPr="00B62920">
        <w:rPr>
          <w:color w:val="000000" w:themeColor="text1"/>
          <w:lang w:val="en-GB"/>
        </w:rPr>
        <w:t xml:space="preserve">The complainant alleges that the lack of information and certainty surrounding </w:t>
      </w:r>
      <w:r w:rsidRPr="00B62920">
        <w:rPr>
          <w:bCs/>
          <w:color w:val="000000" w:themeColor="text1"/>
          <w:lang w:val="en-GB"/>
        </w:rPr>
        <w:t>the</w:t>
      </w:r>
      <w:r w:rsidRPr="00B62920">
        <w:rPr>
          <w:color w:val="000000" w:themeColor="text1"/>
          <w:lang w:val="en-GB"/>
        </w:rPr>
        <w:t xml:space="preserve"> </w:t>
      </w:r>
      <w:r w:rsidR="001F0511" w:rsidRPr="00B62920">
        <w:rPr>
          <w:lang w:val="en-GB"/>
        </w:rPr>
        <w:t>disappearance</w:t>
      </w:r>
      <w:r w:rsidR="00AD7F08" w:rsidRPr="00B62920">
        <w:rPr>
          <w:lang w:val="en-GB"/>
        </w:rPr>
        <w:t xml:space="preserve"> of </w:t>
      </w:r>
      <w:r w:rsidR="00AA7E95" w:rsidRPr="00B62920">
        <w:t xml:space="preserve">Mr Duško </w:t>
      </w:r>
      <w:r w:rsidR="00AA7E95" w:rsidRPr="00B62920">
        <w:rPr>
          <w:lang w:val="en-GB"/>
        </w:rPr>
        <w:t>Karanović</w:t>
      </w:r>
      <w:r w:rsidRPr="00B62920">
        <w:rPr>
          <w:color w:val="000000" w:themeColor="text1"/>
        </w:rPr>
        <w:t>,</w:t>
      </w:r>
      <w:r w:rsidR="00DD33CB" w:rsidRPr="00B62920">
        <w:rPr>
          <w:color w:val="000000" w:themeColor="text1"/>
        </w:rPr>
        <w:t xml:space="preserve"> </w:t>
      </w:r>
      <w:r w:rsidRPr="00B62920">
        <w:rPr>
          <w:color w:val="000000" w:themeColor="text1"/>
          <w:lang w:val="en-GB"/>
        </w:rPr>
        <w:t xml:space="preserve">particularly because of UNMIK’s failure to properly investigate </w:t>
      </w:r>
      <w:r w:rsidR="00D03F27" w:rsidRPr="00B62920">
        <w:t>his</w:t>
      </w:r>
      <w:r w:rsidRPr="00B62920">
        <w:rPr>
          <w:color w:val="000000" w:themeColor="text1"/>
          <w:lang w:val="en-GB"/>
        </w:rPr>
        <w:t xml:space="preserve"> disappearance</w:t>
      </w:r>
      <w:r w:rsidR="00874A40" w:rsidRPr="00B62920">
        <w:rPr>
          <w:color w:val="000000" w:themeColor="text1"/>
          <w:lang w:val="en-GB"/>
        </w:rPr>
        <w:t xml:space="preserve"> caused mental suffering to </w:t>
      </w:r>
      <w:r w:rsidR="00D03F27" w:rsidRPr="00B62920">
        <w:rPr>
          <w:color w:val="000000" w:themeColor="text1"/>
          <w:lang w:val="en-GB"/>
        </w:rPr>
        <w:t>her and her</w:t>
      </w:r>
      <w:r w:rsidRPr="00B62920">
        <w:rPr>
          <w:color w:val="000000" w:themeColor="text1"/>
          <w:lang w:val="en-GB"/>
        </w:rPr>
        <w:t xml:space="preserve"> family.</w:t>
      </w:r>
    </w:p>
    <w:p w:rsidR="00711F6E" w:rsidRPr="00B62920" w:rsidRDefault="00711F6E" w:rsidP="00711F6E">
      <w:pPr>
        <w:pStyle w:val="ListParagraph"/>
        <w:tabs>
          <w:tab w:val="num" w:pos="450"/>
        </w:tabs>
        <w:autoSpaceDE w:val="0"/>
        <w:ind w:left="450" w:hanging="450"/>
        <w:jc w:val="both"/>
        <w:rPr>
          <w:color w:val="000000" w:themeColor="text1"/>
          <w:lang w:val="en-GB"/>
        </w:rPr>
      </w:pPr>
    </w:p>
    <w:p w:rsidR="00711F6E" w:rsidRPr="00B62920" w:rsidRDefault="00711F6E" w:rsidP="00711F6E">
      <w:pPr>
        <w:pStyle w:val="ListParagraph"/>
        <w:numPr>
          <w:ilvl w:val="0"/>
          <w:numId w:val="2"/>
        </w:numPr>
        <w:tabs>
          <w:tab w:val="clear" w:pos="360"/>
          <w:tab w:val="num" w:pos="450"/>
        </w:tabs>
        <w:autoSpaceDE w:val="0"/>
        <w:ind w:left="450" w:hanging="450"/>
        <w:jc w:val="both"/>
        <w:rPr>
          <w:lang w:val="en-GB"/>
        </w:rPr>
      </w:pPr>
      <w:bookmarkStart w:id="113" w:name="_Ref374625321"/>
      <w:r w:rsidRPr="00B62920">
        <w:rPr>
          <w:color w:val="000000" w:themeColor="text1"/>
          <w:lang w:val="en-GB"/>
        </w:rPr>
        <w:t xml:space="preserve">Commenting on this part of the complaint, the SRSG rejects the allegations. </w:t>
      </w:r>
      <w:r w:rsidRPr="00B62920">
        <w:rPr>
          <w:lang w:val="en-GB"/>
        </w:rPr>
        <w:t>The SRSG further argues that no allegations have been made by the complainant “</w:t>
      </w:r>
      <w:r w:rsidR="006E0599" w:rsidRPr="00B62920">
        <w:rPr>
          <w:lang w:val="en-GB"/>
        </w:rPr>
        <w:t xml:space="preserve">of any action by </w:t>
      </w:r>
      <w:r w:rsidR="00874A40" w:rsidRPr="00B62920">
        <w:rPr>
          <w:lang w:val="en-GB"/>
        </w:rPr>
        <w:t xml:space="preserve">UNMIK </w:t>
      </w:r>
      <w:r w:rsidR="006E0599" w:rsidRPr="00B62920">
        <w:rPr>
          <w:lang w:val="en-GB"/>
        </w:rPr>
        <w:t xml:space="preserve">that </w:t>
      </w:r>
      <w:r w:rsidR="00874A40" w:rsidRPr="00B62920">
        <w:rPr>
          <w:lang w:val="en-GB"/>
        </w:rPr>
        <w:t xml:space="preserve">would have evidenced any disregard for the seriousness of the matter or the emotions of </w:t>
      </w:r>
      <w:r w:rsidR="00D03F27" w:rsidRPr="00B62920">
        <w:rPr>
          <w:lang w:val="en-GB"/>
        </w:rPr>
        <w:t>the C</w:t>
      </w:r>
      <w:r w:rsidRPr="00B62920">
        <w:rPr>
          <w:lang w:val="en-GB"/>
        </w:rPr>
        <w:t>omplainant</w:t>
      </w:r>
      <w:r w:rsidR="00D03F27" w:rsidRPr="00B62920">
        <w:rPr>
          <w:lang w:val="en-GB"/>
        </w:rPr>
        <w:t xml:space="preserve"> and of her family</w:t>
      </w:r>
      <w:r w:rsidR="006E0599" w:rsidRPr="00B62920">
        <w:rPr>
          <w:lang w:val="en-GB"/>
        </w:rPr>
        <w:t xml:space="preserve"> in relation to the disappearance of </w:t>
      </w:r>
      <w:r w:rsidR="00D03F27" w:rsidRPr="00B62920">
        <w:t xml:space="preserve">Mr. </w:t>
      </w:r>
      <w:r w:rsidR="00D03F27" w:rsidRPr="00B62920">
        <w:rPr>
          <w:lang w:val="en-GB"/>
        </w:rPr>
        <w:t>Karanović</w:t>
      </w:r>
      <w:r w:rsidR="006E0599" w:rsidRPr="00B62920">
        <w:rPr>
          <w:lang w:val="en-GB"/>
        </w:rPr>
        <w:t>.</w:t>
      </w:r>
      <w:r w:rsidRPr="00B62920">
        <w:rPr>
          <w:lang w:val="en-GB"/>
        </w:rPr>
        <w:t xml:space="preserve">” </w:t>
      </w:r>
    </w:p>
    <w:p w:rsidR="00874A40" w:rsidRPr="00B62920" w:rsidRDefault="00874A40" w:rsidP="00874A40">
      <w:pPr>
        <w:autoSpaceDE w:val="0"/>
        <w:jc w:val="both"/>
        <w:rPr>
          <w:lang w:val="en-GB"/>
        </w:rPr>
      </w:pPr>
    </w:p>
    <w:p w:rsidR="00711F6E" w:rsidRPr="00B62920" w:rsidRDefault="00711F6E" w:rsidP="00711F6E">
      <w:pPr>
        <w:pStyle w:val="ListParagraph"/>
        <w:numPr>
          <w:ilvl w:val="0"/>
          <w:numId w:val="2"/>
        </w:numPr>
        <w:tabs>
          <w:tab w:val="clear" w:pos="360"/>
          <w:tab w:val="num" w:pos="450"/>
        </w:tabs>
        <w:autoSpaceDE w:val="0"/>
        <w:ind w:left="450" w:hanging="450"/>
        <w:jc w:val="both"/>
        <w:rPr>
          <w:lang w:val="en-GB"/>
        </w:rPr>
      </w:pPr>
      <w:r w:rsidRPr="00B62920">
        <w:rPr>
          <w:lang w:val="en-GB"/>
        </w:rPr>
        <w:t xml:space="preserve">The SRSG does not dispute the mental anguish and suffering of the complainant; however he argues that this is not attributable to UNMIK as it is rather “a result of the inherent </w:t>
      </w:r>
      <w:r w:rsidRPr="00B62920">
        <w:rPr>
          <w:lang w:val="en-GB"/>
        </w:rPr>
        <w:lastRenderedPageBreak/>
        <w:t>suffering</w:t>
      </w:r>
      <w:r w:rsidR="006E0599" w:rsidRPr="00B62920">
        <w:rPr>
          <w:lang w:val="en-GB"/>
        </w:rPr>
        <w:t xml:space="preserve"> caused by</w:t>
      </w:r>
      <w:r w:rsidR="00874A40" w:rsidRPr="00B62920">
        <w:rPr>
          <w:lang w:val="en-GB"/>
        </w:rPr>
        <w:t xml:space="preserve"> the </w:t>
      </w:r>
      <w:r w:rsidR="00E92DED" w:rsidRPr="00B62920">
        <w:rPr>
          <w:lang w:val="en-GB"/>
        </w:rPr>
        <w:t>disappearance of</w:t>
      </w:r>
      <w:r w:rsidR="009A6E2B" w:rsidRPr="00B62920">
        <w:rPr>
          <w:lang w:val="en-GB"/>
        </w:rPr>
        <w:t xml:space="preserve"> a</w:t>
      </w:r>
      <w:r w:rsidRPr="00B62920">
        <w:rPr>
          <w:lang w:val="en-GB"/>
        </w:rPr>
        <w:t xml:space="preserve"> close family member.” He states that, in this sense, the European Court has held that the suffering family members </w:t>
      </w:r>
      <w:r w:rsidR="00874A40" w:rsidRPr="00B62920">
        <w:rPr>
          <w:lang w:val="en-GB"/>
        </w:rPr>
        <w:t>must have a “character distinct</w:t>
      </w:r>
      <w:r w:rsidRPr="00B62920">
        <w:rPr>
          <w:lang w:val="en-GB"/>
        </w:rPr>
        <w:t xml:space="preserve"> from the emotional distress which may be rega</w:t>
      </w:r>
      <w:r w:rsidR="00874A40" w:rsidRPr="00B62920">
        <w:rPr>
          <w:lang w:val="en-GB"/>
        </w:rPr>
        <w:t>rded as inevitably caused to</w:t>
      </w:r>
      <w:r w:rsidRPr="00B62920">
        <w:rPr>
          <w:lang w:val="en-GB"/>
        </w:rPr>
        <w:t xml:space="preserve"> relatives of a victim of a serious human rights violation.</w:t>
      </w:r>
      <w:r w:rsidR="00874A40" w:rsidRPr="00B62920">
        <w:rPr>
          <w:lang w:val="en-GB"/>
        </w:rPr>
        <w:t>”</w:t>
      </w:r>
      <w:r w:rsidRPr="00B62920">
        <w:rPr>
          <w:lang w:val="en-GB"/>
        </w:rPr>
        <w:t xml:space="preserve"> </w:t>
      </w:r>
    </w:p>
    <w:p w:rsidR="00711F6E" w:rsidRPr="00B62920" w:rsidRDefault="00711F6E" w:rsidP="00711F6E">
      <w:pPr>
        <w:pStyle w:val="ListParagraph"/>
        <w:tabs>
          <w:tab w:val="left" w:pos="3885"/>
        </w:tabs>
        <w:autoSpaceDE w:val="0"/>
        <w:ind w:left="450"/>
        <w:jc w:val="both"/>
        <w:rPr>
          <w:lang w:val="en-GB"/>
        </w:rPr>
      </w:pPr>
      <w:r w:rsidRPr="00B62920">
        <w:rPr>
          <w:lang w:val="en-GB"/>
        </w:rPr>
        <w:t xml:space="preserve"> </w:t>
      </w:r>
      <w:r w:rsidRPr="00B62920">
        <w:rPr>
          <w:lang w:val="en-GB"/>
        </w:rPr>
        <w:tab/>
      </w:r>
    </w:p>
    <w:p w:rsidR="00711F6E" w:rsidRPr="00B62920" w:rsidRDefault="00711F6E" w:rsidP="00711F6E">
      <w:pPr>
        <w:pStyle w:val="ListParagraph"/>
        <w:numPr>
          <w:ilvl w:val="0"/>
          <w:numId w:val="2"/>
        </w:numPr>
        <w:tabs>
          <w:tab w:val="clear" w:pos="360"/>
          <w:tab w:val="num" w:pos="450"/>
        </w:tabs>
        <w:autoSpaceDE w:val="0"/>
        <w:ind w:left="450" w:hanging="450"/>
        <w:jc w:val="both"/>
        <w:rPr>
          <w:lang w:val="en-GB"/>
        </w:rPr>
      </w:pPr>
      <w:r w:rsidRPr="00B62920">
        <w:rPr>
          <w:lang w:val="en-GB"/>
        </w:rPr>
        <w:t xml:space="preserve">The SRSG therefore argues that there has been no violation of Article 3. </w:t>
      </w:r>
    </w:p>
    <w:bookmarkEnd w:id="113"/>
    <w:p w:rsidR="00711F6E" w:rsidRPr="00B62920" w:rsidRDefault="00711F6E" w:rsidP="00711F6E">
      <w:pPr>
        <w:pStyle w:val="ListParagraph1"/>
        <w:ind w:left="0"/>
        <w:jc w:val="both"/>
        <w:rPr>
          <w:b/>
          <w:color w:val="000000" w:themeColor="text1"/>
        </w:rPr>
      </w:pPr>
    </w:p>
    <w:p w:rsidR="00711F6E" w:rsidRPr="00B62920" w:rsidRDefault="00711F6E" w:rsidP="00711F6E">
      <w:pPr>
        <w:pStyle w:val="ListParagraph1"/>
        <w:numPr>
          <w:ilvl w:val="0"/>
          <w:numId w:val="17"/>
        </w:numPr>
        <w:jc w:val="both"/>
        <w:rPr>
          <w:b/>
          <w:color w:val="000000" w:themeColor="text1"/>
        </w:rPr>
      </w:pPr>
      <w:r w:rsidRPr="00B62920">
        <w:rPr>
          <w:b/>
          <w:color w:val="000000" w:themeColor="text1"/>
        </w:rPr>
        <w:t xml:space="preserve">The Panel’s assessment </w:t>
      </w:r>
    </w:p>
    <w:p w:rsidR="00711F6E" w:rsidRPr="00B62920" w:rsidRDefault="00711F6E" w:rsidP="00711F6E">
      <w:pPr>
        <w:pStyle w:val="ListParagraph1"/>
        <w:ind w:left="0"/>
        <w:jc w:val="both"/>
        <w:rPr>
          <w:b/>
          <w:color w:val="000000" w:themeColor="text1"/>
        </w:rPr>
      </w:pPr>
    </w:p>
    <w:p w:rsidR="00711F6E" w:rsidRPr="00B62920" w:rsidRDefault="00711F6E" w:rsidP="00711F6E">
      <w:pPr>
        <w:pStyle w:val="ListParagraph1"/>
        <w:numPr>
          <w:ilvl w:val="0"/>
          <w:numId w:val="16"/>
        </w:numPr>
        <w:ind w:left="360"/>
        <w:jc w:val="both"/>
        <w:rPr>
          <w:b/>
          <w:color w:val="000000" w:themeColor="text1"/>
        </w:rPr>
      </w:pPr>
      <w:r w:rsidRPr="00B62920">
        <w:rPr>
          <w:i/>
          <w:color w:val="000000" w:themeColor="text1"/>
          <w:lang w:eastAsia="en-US"/>
        </w:rPr>
        <w:t xml:space="preserve"> General principles concerning the obligation under Article 3</w:t>
      </w:r>
    </w:p>
    <w:p w:rsidR="00711F6E" w:rsidRPr="00B62920" w:rsidRDefault="00711F6E" w:rsidP="00711F6E">
      <w:pPr>
        <w:autoSpaceDE w:val="0"/>
        <w:jc w:val="both"/>
        <w:rPr>
          <w:color w:val="000000" w:themeColor="text1"/>
          <w:lang w:val="en-GB" w:eastAsia="ar-SA"/>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bookmarkStart w:id="114" w:name="_Ref401074681"/>
      <w:r w:rsidRPr="00B62920">
        <w:rPr>
          <w:color w:val="000000" w:themeColor="text1"/>
          <w:lang w:val="en-GB"/>
        </w:rPr>
        <w:t>Like Article 2, Article 3 of the ECHR enshrines one of the most fundamental values in democratic societies (</w:t>
      </w:r>
      <w:r w:rsidR="001459F6" w:rsidRPr="00B62920">
        <w:rPr>
          <w:color w:val="000000" w:themeColor="text1"/>
          <w:lang w:val="en-GB"/>
        </w:rPr>
        <w:t xml:space="preserve">see </w:t>
      </w:r>
      <w:r w:rsidRPr="00B62920">
        <w:rPr>
          <w:color w:val="000000" w:themeColor="text1"/>
          <w:lang w:val="en-GB"/>
        </w:rPr>
        <w:t xml:space="preserve">ECtHR, </w:t>
      </w:r>
      <w:r w:rsidRPr="00B62920">
        <w:rPr>
          <w:i/>
          <w:color w:val="000000" w:themeColor="text1"/>
          <w:lang w:val="en-GB"/>
        </w:rPr>
        <w:t>Talat Tepe v. Turkey</w:t>
      </w:r>
      <w:r w:rsidRPr="00B62920">
        <w:rPr>
          <w:color w:val="000000" w:themeColor="text1"/>
          <w:lang w:val="en-GB"/>
        </w:rPr>
        <w:t xml:space="preserve">, no. 31247/96, 21 December 2004, § 47; ECtHR [GC], </w:t>
      </w:r>
      <w:r w:rsidRPr="00B62920">
        <w:rPr>
          <w:i/>
          <w:color w:val="000000" w:themeColor="text1"/>
          <w:lang w:val="en-GB"/>
        </w:rPr>
        <w:t>Ilaşcu and Others v. Moldova and Russia</w:t>
      </w:r>
      <w:r w:rsidRPr="00B62920">
        <w:rPr>
          <w:color w:val="000000" w:themeColor="text1"/>
          <w:lang w:val="en-GB"/>
        </w:rPr>
        <w:t xml:space="preserve">, no. 48787/99, judgment of 8 July 2004, </w:t>
      </w:r>
      <w:r w:rsidRPr="00B62920">
        <w:rPr>
          <w:i/>
          <w:color w:val="000000" w:themeColor="text1"/>
          <w:lang w:val="en-GB"/>
        </w:rPr>
        <w:t>ECHR</w:t>
      </w:r>
      <w:r w:rsidRPr="00B62920">
        <w:rPr>
          <w:color w:val="000000" w:themeColor="text1"/>
          <w:lang w:val="en-GB"/>
        </w:rPr>
        <w:t>, 2004-VII, § 424). As confirmed by the absolute nature conferred on it by Article 15 § 2 of the ECHR, the prohibition of torture and inhuman and degrading treatment still applies even in most difficult circumstances.</w:t>
      </w:r>
      <w:bookmarkEnd w:id="114"/>
    </w:p>
    <w:p w:rsidR="00711F6E" w:rsidRPr="00B62920" w:rsidRDefault="00711F6E" w:rsidP="00711F6E">
      <w:pPr>
        <w:tabs>
          <w:tab w:val="num" w:pos="450"/>
        </w:tabs>
        <w:suppressAutoHyphens/>
        <w:autoSpaceDE w:val="0"/>
        <w:ind w:left="450" w:hanging="450"/>
        <w:jc w:val="both"/>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 xml:space="preserve">Setting out the general principles applicable to situations where violations of the obligation under Article 3 of the ECHR are alleged, the Panel notes that the phenomenon of disappearance constitutes a complex form of human rights violation that must be understood and confronted in an integral fashion (see IACtHR, </w:t>
      </w:r>
      <w:r w:rsidRPr="00B62920">
        <w:rPr>
          <w:i/>
          <w:color w:val="000000" w:themeColor="text1"/>
          <w:lang w:val="en-GB"/>
        </w:rPr>
        <w:t>Velásquez-Rodríguez v. Honduras</w:t>
      </w:r>
      <w:r w:rsidRPr="00B62920">
        <w:rPr>
          <w:color w:val="000000" w:themeColor="text1"/>
          <w:lang w:val="en-GB"/>
        </w:rPr>
        <w:t xml:space="preserve">, cited in § </w:t>
      </w:r>
      <w:r w:rsidR="00383CDF" w:rsidRPr="00B62920">
        <w:fldChar w:fldCharType="begin"/>
      </w:r>
      <w:r w:rsidR="00383CDF" w:rsidRPr="00B62920">
        <w:rPr>
          <w:color w:val="000000" w:themeColor="text1"/>
          <w:lang w:val="en-GB"/>
        </w:rPr>
        <w:instrText xml:space="preserve"> REF _Ref412809772 \r \h </w:instrText>
      </w:r>
      <w:r w:rsidR="00E84F72" w:rsidRPr="00B62920">
        <w:instrText xml:space="preserve"> \* MERGEFORMAT </w:instrText>
      </w:r>
      <w:r w:rsidR="00383CDF" w:rsidRPr="00B62920">
        <w:fldChar w:fldCharType="separate"/>
      </w:r>
      <w:r w:rsidR="00B52E51">
        <w:rPr>
          <w:color w:val="000000" w:themeColor="text1"/>
          <w:lang w:val="en-GB"/>
        </w:rPr>
        <w:t>63</w:t>
      </w:r>
      <w:r w:rsidR="00383CDF" w:rsidRPr="00B62920">
        <w:fldChar w:fldCharType="end"/>
      </w:r>
      <w:r w:rsidR="00383CDF" w:rsidRPr="00B62920">
        <w:t xml:space="preserve"> </w:t>
      </w:r>
      <w:r w:rsidRPr="00B62920">
        <w:rPr>
          <w:color w:val="000000" w:themeColor="text1"/>
          <w:lang w:val="en-GB"/>
        </w:rPr>
        <w:t xml:space="preserve">above, at § 150). </w:t>
      </w:r>
    </w:p>
    <w:p w:rsidR="00711F6E" w:rsidRPr="00B62920" w:rsidRDefault="00711F6E" w:rsidP="00711F6E">
      <w:pPr>
        <w:pStyle w:val="ListParagraph"/>
        <w:tabs>
          <w:tab w:val="num" w:pos="450"/>
        </w:tabs>
        <w:ind w:left="450" w:hanging="450"/>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The Panel observes that the obligation under Article 3 of the ECHR differs from the procedural obligation on the authorities under Article 2. Whereas the latter requires the authorities to take specific legal action capable of leading to identification and punishment of those responsible, the former is more general and humanitarian and relates to their reaction to the plight of the relatives of those who have disappeared or died.</w:t>
      </w:r>
    </w:p>
    <w:p w:rsidR="00711F6E" w:rsidRPr="00B62920" w:rsidRDefault="00711F6E" w:rsidP="00711F6E">
      <w:pPr>
        <w:pStyle w:val="ListParagraph"/>
        <w:tabs>
          <w:tab w:val="num" w:pos="450"/>
        </w:tabs>
        <w:ind w:left="450" w:hanging="450"/>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 xml:space="preserve">The HRC has also recognised disappearances as a serious violation of human rights. In its decision of 21 July 1983, in the case </w:t>
      </w:r>
      <w:r w:rsidRPr="00B62920">
        <w:rPr>
          <w:i/>
          <w:color w:val="000000" w:themeColor="text1"/>
          <w:lang w:val="en-GB"/>
        </w:rPr>
        <w:t>Quinteros v. Urugay</w:t>
      </w:r>
      <w:r w:rsidRPr="00B62920">
        <w:rPr>
          <w:color w:val="000000" w:themeColor="text1"/>
          <w:lang w:val="en-GB"/>
        </w:rPr>
        <w:t xml:space="preserve">, it stated that disappearances constitute serious violations of the rights of the disappeared person’s relatives, who suffer from deep anguish which persists for as long as the uncertainty concerning the fate of their loved one continues, often for many years (see HRC, Communication No. 107/1981, U.N. Doc. CCPR/C/OP/2 at 138 (1990), § 14). Moreover, in its decision of 15 July 1994 in the case </w:t>
      </w:r>
      <w:r w:rsidRPr="00B62920">
        <w:rPr>
          <w:i/>
          <w:color w:val="000000" w:themeColor="text1"/>
          <w:lang w:val="en-GB"/>
        </w:rPr>
        <w:t>Mojica v. Dominican Republic</w:t>
      </w:r>
      <w:r w:rsidRPr="00B62920">
        <w:rPr>
          <w:color w:val="000000" w:themeColor="text1"/>
          <w:lang w:val="en-GB"/>
        </w:rPr>
        <w:t xml:space="preserve">, the HRC has deemed that “the disappearance of persons is inseparably linked to treatment that amounts to a violation of article 7 </w:t>
      </w:r>
      <w:r w:rsidRPr="00B62920">
        <w:rPr>
          <w:color w:val="000000" w:themeColor="text1"/>
          <w:lang w:val="en-GB"/>
        </w:rPr>
        <w:sym w:font="Symbol" w:char="F05B"/>
      </w:r>
      <w:r w:rsidRPr="00B62920">
        <w:rPr>
          <w:color w:val="000000" w:themeColor="text1"/>
          <w:lang w:val="en-GB"/>
        </w:rPr>
        <w:t>of the Covenant</w:t>
      </w:r>
      <w:r w:rsidRPr="00B62920">
        <w:rPr>
          <w:color w:val="000000" w:themeColor="text1"/>
          <w:lang w:val="en-GB"/>
        </w:rPr>
        <w:sym w:font="Symbol" w:char="F05D"/>
      </w:r>
      <w:r w:rsidRPr="00B62920">
        <w:rPr>
          <w:color w:val="000000" w:themeColor="text1"/>
          <w:lang w:val="en-GB"/>
        </w:rPr>
        <w:t xml:space="preserve">”, also prohibiting torture, inhumane or degrading treatment and punishment (see HRC, </w:t>
      </w:r>
      <w:r w:rsidRPr="00B62920">
        <w:rPr>
          <w:bCs/>
          <w:color w:val="000000" w:themeColor="text1"/>
          <w:lang w:val="en-GB"/>
        </w:rPr>
        <w:t xml:space="preserve">Communication No. 449/1991, U.N. Doc. CCPR/C/51/D/449/1991 (1994), </w:t>
      </w:r>
      <w:r w:rsidRPr="00B62920">
        <w:rPr>
          <w:color w:val="000000" w:themeColor="text1"/>
          <w:lang w:val="en-GB"/>
        </w:rPr>
        <w:t>§ 5.7).</w:t>
      </w:r>
    </w:p>
    <w:p w:rsidR="00711F6E" w:rsidRPr="00B62920" w:rsidRDefault="00711F6E" w:rsidP="00711F6E">
      <w:pPr>
        <w:pStyle w:val="ListParagraph"/>
        <w:tabs>
          <w:tab w:val="num" w:pos="450"/>
        </w:tabs>
        <w:ind w:left="450" w:hanging="450"/>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bookmarkStart w:id="115" w:name="_Ref374623221"/>
      <w:r w:rsidRPr="00B62920">
        <w:rPr>
          <w:color w:val="000000" w:themeColor="text1"/>
          <w:lang w:val="en-GB"/>
        </w:rPr>
        <w:t xml:space="preserve">With respect to the question whether a member of the family of a disappeared person can be considered the victim of a treatment contrary to Article 3 of the ECHR, the Panel refers to the case law of the European Court of Human Rights and to its own case law. The European Court accepts that this may be the case, depending on the existence of “special factors which give the suffering of the </w:t>
      </w:r>
      <w:r w:rsidRPr="00B62920">
        <w:rPr>
          <w:color w:val="000000" w:themeColor="text1"/>
          <w:lang w:val="en-GB"/>
        </w:rPr>
        <w:sym w:font="Symbol" w:char="F05B"/>
      </w:r>
      <w:r w:rsidRPr="00B62920">
        <w:rPr>
          <w:color w:val="000000" w:themeColor="text1"/>
          <w:lang w:val="en-GB"/>
        </w:rPr>
        <w:t>family member</w:t>
      </w:r>
      <w:r w:rsidRPr="00B62920">
        <w:rPr>
          <w:color w:val="000000" w:themeColor="text1"/>
          <w:lang w:val="en-GB"/>
        </w:rPr>
        <w:sym w:font="Symbol" w:char="F05D"/>
      </w:r>
      <w:r w:rsidRPr="00B62920">
        <w:rPr>
          <w:color w:val="000000" w:themeColor="text1"/>
          <w:lang w:val="en-GB"/>
        </w:rPr>
        <w:t xml:space="preserve"> a dimension and character distinct from the </w:t>
      </w:r>
      <w:r w:rsidRPr="00B62920">
        <w:rPr>
          <w:color w:val="000000" w:themeColor="text1"/>
          <w:lang w:val="en-GB"/>
        </w:rPr>
        <w:lastRenderedPageBreak/>
        <w:t xml:space="preserve">emotional distress which may be regarded as inevitably caused to relatives of a victim of a serious human rights violation”. The Court further holds that “relevant elements will include the proximity of the family tie, the particular circumstances of the relationship, the extent to which the family member witnessed the events in question, the involvement of the family member in the attempts to obtain information about the disappeared person and the way in which the authorities </w:t>
      </w:r>
      <w:r w:rsidR="000B1FB4" w:rsidRPr="00B62920">
        <w:rPr>
          <w:color w:val="000000" w:themeColor="text1"/>
          <w:lang w:val="en-GB"/>
        </w:rPr>
        <w:t>responded to those enquiries” (</w:t>
      </w:r>
      <w:r w:rsidRPr="00B62920">
        <w:rPr>
          <w:color w:val="000000" w:themeColor="text1"/>
          <w:lang w:val="en-GB"/>
        </w:rPr>
        <w:t xml:space="preserve">ECtHR, </w:t>
      </w:r>
      <w:r w:rsidRPr="00B62920">
        <w:rPr>
          <w:i/>
          <w:color w:val="000000" w:themeColor="text1"/>
          <w:lang w:val="en-GB"/>
        </w:rPr>
        <w:t>Basayeva and Others v. Russia</w:t>
      </w:r>
      <w:r w:rsidRPr="00B62920">
        <w:rPr>
          <w:color w:val="000000" w:themeColor="text1"/>
          <w:lang w:val="en-GB"/>
        </w:rPr>
        <w:t xml:space="preserve">, nos. 15441/05 and 20731/04, judgment of 28 May 2009, § 159; ECtHR, </w:t>
      </w:r>
      <w:r w:rsidRPr="00B62920">
        <w:rPr>
          <w:i/>
          <w:color w:val="000000" w:themeColor="text1"/>
          <w:lang w:val="en-GB"/>
        </w:rPr>
        <w:t>Er and Others v. Turkey</w:t>
      </w:r>
      <w:r w:rsidRPr="00B62920">
        <w:rPr>
          <w:color w:val="000000" w:themeColor="text1"/>
          <w:lang w:val="en-GB"/>
        </w:rPr>
        <w:t xml:space="preserve">, cited in § </w:t>
      </w:r>
      <w:r w:rsidRPr="00B62920">
        <w:fldChar w:fldCharType="begin"/>
      </w:r>
      <w:r w:rsidRPr="00B62920">
        <w:instrText xml:space="preserve"> REF _Ref374623030 \r \h  \* MERGEFORMAT </w:instrText>
      </w:r>
      <w:r w:rsidRPr="00B62920">
        <w:fldChar w:fldCharType="separate"/>
      </w:r>
      <w:r w:rsidR="00B52E51" w:rsidRPr="00B52E51">
        <w:rPr>
          <w:color w:val="000000" w:themeColor="text1"/>
          <w:lang w:val="en-GB"/>
        </w:rPr>
        <w:t>118</w:t>
      </w:r>
      <w:r w:rsidRPr="00B62920">
        <w:fldChar w:fldCharType="end"/>
      </w:r>
      <w:r w:rsidRPr="00B62920">
        <w:rPr>
          <w:color w:val="000000" w:themeColor="text1"/>
          <w:lang w:val="en-GB"/>
        </w:rPr>
        <w:t xml:space="preserve"> above, at § 94).</w:t>
      </w:r>
      <w:bookmarkEnd w:id="115"/>
    </w:p>
    <w:p w:rsidR="00711F6E" w:rsidRPr="00B62920" w:rsidRDefault="00711F6E" w:rsidP="00711F6E">
      <w:pPr>
        <w:tabs>
          <w:tab w:val="num" w:pos="450"/>
        </w:tabs>
        <w:suppressAutoHyphens/>
        <w:autoSpaceDE w:val="0"/>
        <w:ind w:left="450" w:hanging="450"/>
        <w:jc w:val="both"/>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 xml:space="preserve">The Panel takes note that, when assessing the emotional suffering of the victims, the European Court also considers the following circumstances: the length of the disappearance itself and of the period with no information on the fate of the missing person and on the investigation undertaken by the authorities; the delay in initiation of criminal investigation into the disappearance; the absence of any “meaningful” action by the authorities, despite the fact that the complainants approached them to report the disappearance of their relative and to share with them the information they had; lack of any plausible explanation or information as to the fate of their missing relatives despite personal or written inquiries with official bodies (see, among others, ECtHR, </w:t>
      </w:r>
      <w:r w:rsidRPr="00B62920">
        <w:rPr>
          <w:i/>
          <w:color w:val="000000" w:themeColor="text1"/>
          <w:lang w:val="en-GB"/>
        </w:rPr>
        <w:t>Er and Others v. Turkey,</w:t>
      </w:r>
      <w:r w:rsidRPr="00B62920">
        <w:rPr>
          <w:color w:val="000000" w:themeColor="text1"/>
          <w:lang w:val="en-GB"/>
        </w:rPr>
        <w:t xml:space="preserve"> cited above, § 96; ECtHR, </w:t>
      </w:r>
      <w:r w:rsidRPr="00B62920">
        <w:rPr>
          <w:i/>
          <w:color w:val="000000" w:themeColor="text1"/>
          <w:lang w:val="en-GB"/>
        </w:rPr>
        <w:t>Osmanoğlu v. Turkey,</w:t>
      </w:r>
      <w:r w:rsidRPr="00B62920">
        <w:rPr>
          <w:color w:val="000000" w:themeColor="text1"/>
          <w:lang w:val="en-GB"/>
        </w:rPr>
        <w:t xml:space="preserve"> no. 48804/99, judgment of 24 January 2008, § 97). Another factor leading to a finding of violation of Article 3 of the ECHR is the continuous nature of the psychological suffering of relatives of a victim of a disappearance (</w:t>
      </w:r>
      <w:r w:rsidR="00F20D96" w:rsidRPr="00B62920">
        <w:rPr>
          <w:color w:val="000000" w:themeColor="text1"/>
          <w:lang w:val="en-GB"/>
        </w:rPr>
        <w:t xml:space="preserve">see </w:t>
      </w:r>
      <w:r w:rsidRPr="00B62920">
        <w:rPr>
          <w:color w:val="000000" w:themeColor="text1"/>
          <w:lang w:val="en-GB"/>
        </w:rPr>
        <w:t xml:space="preserve">ECtHR, </w:t>
      </w:r>
      <w:r w:rsidRPr="00B62920">
        <w:rPr>
          <w:i/>
          <w:color w:val="000000" w:themeColor="text1"/>
          <w:lang w:val="en-GB"/>
        </w:rPr>
        <w:t>Salakhov and Islyamova v. Ukraine,</w:t>
      </w:r>
      <w:r w:rsidRPr="00B62920">
        <w:rPr>
          <w:color w:val="000000" w:themeColor="text1"/>
          <w:lang w:val="en-GB"/>
        </w:rPr>
        <w:t xml:space="preserve"> no. 28005/08, judgment of 14 March 2013, § 201).</w:t>
      </w:r>
    </w:p>
    <w:p w:rsidR="00711F6E" w:rsidRPr="00B62920" w:rsidRDefault="00711F6E" w:rsidP="00711F6E">
      <w:pPr>
        <w:tabs>
          <w:tab w:val="num" w:pos="450"/>
        </w:tabs>
        <w:suppressAutoHyphens/>
        <w:autoSpaceDE w:val="0"/>
        <w:ind w:left="450" w:hanging="450"/>
        <w:jc w:val="both"/>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The HRC has also considered the issue and recognised family members of disappeared or missing persons as victims of a violation of Article 7 of the Covenant: parents (</w:t>
      </w:r>
      <w:r w:rsidRPr="00B62920">
        <w:rPr>
          <w:i/>
          <w:color w:val="000000" w:themeColor="text1"/>
          <w:lang w:val="en-GB"/>
        </w:rPr>
        <w:t>Boucherf v. Algeria</w:t>
      </w:r>
      <w:r w:rsidRPr="00B62920">
        <w:rPr>
          <w:color w:val="000000" w:themeColor="text1"/>
          <w:lang w:val="en-GB"/>
        </w:rPr>
        <w:t xml:space="preserve">, </w:t>
      </w:r>
      <w:r w:rsidRPr="00B62920">
        <w:rPr>
          <w:bCs/>
          <w:color w:val="000000" w:themeColor="text1"/>
          <w:lang w:val="en-GB"/>
        </w:rPr>
        <w:t>Communication No. 1196/2003</w:t>
      </w:r>
      <w:r w:rsidRPr="00B62920">
        <w:rPr>
          <w:color w:val="000000" w:themeColor="text1"/>
          <w:lang w:val="en-GB"/>
        </w:rPr>
        <w:t>, views of 30 March 2006, § 9.7, CCPR/C/86/D/1196/2003), children (</w:t>
      </w:r>
      <w:r w:rsidRPr="00B62920">
        <w:rPr>
          <w:i/>
          <w:color w:val="000000" w:themeColor="text1"/>
          <w:lang w:val="en-GB"/>
        </w:rPr>
        <w:t>Zarzi v. Algeria</w:t>
      </w:r>
      <w:r w:rsidRPr="00B62920">
        <w:rPr>
          <w:color w:val="000000" w:themeColor="text1"/>
          <w:lang w:val="en-GB"/>
        </w:rPr>
        <w:t xml:space="preserve">, </w:t>
      </w:r>
      <w:r w:rsidRPr="00B62920">
        <w:rPr>
          <w:bCs/>
          <w:color w:val="000000" w:themeColor="text1"/>
          <w:lang w:val="en-GB"/>
        </w:rPr>
        <w:t>Communication No. 1780/2008</w:t>
      </w:r>
      <w:r w:rsidRPr="00B62920">
        <w:rPr>
          <w:color w:val="000000" w:themeColor="text1"/>
          <w:lang w:val="en-GB"/>
        </w:rPr>
        <w:t xml:space="preserve">, views of 22 March 2011, § 7.6, </w:t>
      </w:r>
      <w:r w:rsidRPr="00B62920">
        <w:rPr>
          <w:bCs/>
          <w:color w:val="000000" w:themeColor="text1"/>
          <w:lang w:val="en-GB"/>
        </w:rPr>
        <w:t>CCPR/C/101/D/1780/2008</w:t>
      </w:r>
      <w:r w:rsidRPr="00B62920">
        <w:rPr>
          <w:color w:val="000000" w:themeColor="text1"/>
          <w:lang w:val="en-GB"/>
        </w:rPr>
        <w:t>), siblings (</w:t>
      </w:r>
      <w:r w:rsidRPr="00B62920">
        <w:rPr>
          <w:i/>
          <w:color w:val="000000" w:themeColor="text1"/>
          <w:lang w:val="en-GB"/>
        </w:rPr>
        <w:t>El Abani v. Libyan Arab Jamahiriya,</w:t>
      </w:r>
      <w:r w:rsidRPr="00B62920">
        <w:rPr>
          <w:bCs/>
          <w:color w:val="000000" w:themeColor="text1"/>
          <w:lang w:val="en-GB"/>
        </w:rPr>
        <w:t>Communication No. 1640/2007</w:t>
      </w:r>
      <w:r w:rsidRPr="00B62920">
        <w:rPr>
          <w:color w:val="000000" w:themeColor="text1"/>
          <w:lang w:val="en-GB"/>
        </w:rPr>
        <w:t xml:space="preserve">, views of 26 July 2010, § 7.5, </w:t>
      </w:r>
      <w:r w:rsidRPr="00B62920">
        <w:rPr>
          <w:bCs/>
          <w:color w:val="000000" w:themeColor="text1"/>
          <w:lang w:val="en-GB"/>
        </w:rPr>
        <w:t>CCPR/C/99/D/1640/2007</w:t>
      </w:r>
      <w:r w:rsidRPr="00B62920">
        <w:rPr>
          <w:color w:val="000000" w:themeColor="text1"/>
          <w:lang w:val="en-GB"/>
        </w:rPr>
        <w:t>), spouses (</w:t>
      </w:r>
      <w:r w:rsidRPr="00B62920">
        <w:rPr>
          <w:i/>
          <w:color w:val="000000" w:themeColor="text1"/>
          <w:lang w:val="en-GB"/>
        </w:rPr>
        <w:t>Bousroual v. Algeria</w:t>
      </w:r>
      <w:r w:rsidRPr="00B62920">
        <w:rPr>
          <w:color w:val="000000" w:themeColor="text1"/>
          <w:lang w:val="en-GB"/>
        </w:rPr>
        <w:t xml:space="preserve">, </w:t>
      </w:r>
      <w:r w:rsidRPr="00B62920">
        <w:rPr>
          <w:bCs/>
          <w:color w:val="000000" w:themeColor="text1"/>
          <w:lang w:val="en-GB"/>
        </w:rPr>
        <w:t>Communication No. 992/2001, views of</w:t>
      </w:r>
      <w:r w:rsidRPr="00B62920">
        <w:rPr>
          <w:color w:val="000000" w:themeColor="text1"/>
          <w:lang w:val="en-GB"/>
        </w:rPr>
        <w:t xml:space="preserve"> 30 March 2006, § 9.8, CCPR/C/86/D/992/2001), aunts and uncles (</w:t>
      </w:r>
      <w:r w:rsidRPr="00B62920">
        <w:rPr>
          <w:i/>
          <w:color w:val="000000" w:themeColor="text1"/>
          <w:lang w:val="en-GB"/>
        </w:rPr>
        <w:t>Benaniza v Algeria,</w:t>
      </w:r>
      <w:r w:rsidRPr="00B62920">
        <w:rPr>
          <w:color w:val="000000" w:themeColor="text1"/>
          <w:lang w:val="en-GB"/>
        </w:rPr>
        <w:t xml:space="preserve"> views of 26 July 2010, § 9.4, CCPR/C/99/D/1588/2007) (</w:t>
      </w:r>
      <w:r w:rsidRPr="00B62920">
        <w:rPr>
          <w:i/>
          <w:color w:val="000000" w:themeColor="text1"/>
          <w:lang w:val="en-GB"/>
        </w:rPr>
        <w:t>Bashasha v. Libyan Arab Jamahiriya</w:t>
      </w:r>
      <w:r w:rsidRPr="00B62920">
        <w:rPr>
          <w:color w:val="000000" w:themeColor="text1"/>
          <w:lang w:val="en-GB"/>
        </w:rPr>
        <w:t>, views of 20 October 2010, § 7.2, CCPR/C/100/D/1776/2008). It justifies this broad understanding of victim status by the suffering and distress that is caused to family members by the disappearance of an individual, which is often exacerbated by the authorities’ insufficient efforts to investigate the disappearance in order to establish the fate of the victim and to bring perpetrators to justice (</w:t>
      </w:r>
      <w:r w:rsidRPr="00B62920">
        <w:rPr>
          <w:i/>
          <w:color w:val="000000" w:themeColor="text1"/>
          <w:lang w:val="en-GB"/>
        </w:rPr>
        <w:t>Aboussedra v. Libyan Arab Jamahiriya</w:t>
      </w:r>
      <w:r w:rsidRPr="00B62920">
        <w:rPr>
          <w:color w:val="000000" w:themeColor="text1"/>
          <w:lang w:val="en-GB"/>
        </w:rPr>
        <w:t xml:space="preserve">, </w:t>
      </w:r>
      <w:r w:rsidRPr="00B62920">
        <w:rPr>
          <w:bCs/>
          <w:color w:val="000000" w:themeColor="text1"/>
          <w:lang w:val="en-GB"/>
        </w:rPr>
        <w:t>Communication No. 1751/2008,</w:t>
      </w:r>
      <w:r w:rsidRPr="00B62920">
        <w:rPr>
          <w:color w:val="000000" w:themeColor="text1"/>
          <w:lang w:val="en-GB"/>
        </w:rPr>
        <w:t xml:space="preserve"> views of 25 October 2010, § 7.5, </w:t>
      </w:r>
      <w:r w:rsidRPr="00B62920">
        <w:rPr>
          <w:bCs/>
          <w:color w:val="000000" w:themeColor="text1"/>
          <w:lang w:val="en-GB"/>
        </w:rPr>
        <w:t>CCPR/C/100/D/1751/2008</w:t>
      </w:r>
      <w:r w:rsidRPr="00B62920">
        <w:rPr>
          <w:color w:val="000000" w:themeColor="text1"/>
          <w:lang w:val="en-GB"/>
        </w:rPr>
        <w:t xml:space="preserve">). In the case </w:t>
      </w:r>
      <w:r w:rsidRPr="00B62920">
        <w:rPr>
          <w:i/>
          <w:color w:val="000000" w:themeColor="text1"/>
          <w:lang w:val="en-GB"/>
        </w:rPr>
        <w:t>Amirov v. Russian Federation</w:t>
      </w:r>
      <w:r w:rsidRPr="00B62920">
        <w:rPr>
          <w:color w:val="000000" w:themeColor="text1"/>
          <w:lang w:val="en-GB"/>
        </w:rPr>
        <w:t xml:space="preserve"> the Committee observed that “</w:t>
      </w:r>
      <w:r w:rsidRPr="00B62920">
        <w:rPr>
          <w:color w:val="000000" w:themeColor="text1"/>
          <w:lang w:val="en-GB"/>
        </w:rPr>
        <w:sym w:font="Symbol" w:char="F05B"/>
      </w:r>
      <w:r w:rsidRPr="00B62920">
        <w:rPr>
          <w:color w:val="000000" w:themeColor="text1"/>
          <w:lang w:val="en-GB"/>
        </w:rPr>
        <w:t>w</w:t>
      </w:r>
      <w:r w:rsidRPr="00B62920">
        <w:rPr>
          <w:color w:val="000000" w:themeColor="text1"/>
          <w:lang w:val="en-GB"/>
        </w:rPr>
        <w:sym w:font="Symbol" w:char="F05D"/>
      </w:r>
      <w:r w:rsidRPr="00B62920">
        <w:rPr>
          <w:color w:val="000000" w:themeColor="text1"/>
          <w:lang w:val="en-GB"/>
        </w:rPr>
        <w:t xml:space="preserve">ithout wishing to spell out all the circumstances of indirect victimisation, the Committee considers that the failure of a State party responsibly to discharge its obligations to investigate and clarify the circumstances of the harm suffered by the direct victim will be usually be a factor. Additional factors may be necessary. In the present case, the Committee notes the horrific conditions in which the author came to find his wife's mutilated remains (…), followed by the dilatory, sporadic measures undertaken to investigate the circumstances that have lead to the above findings of violations of articles 6 </w:t>
      </w:r>
      <w:r w:rsidRPr="00B62920">
        <w:rPr>
          <w:color w:val="000000" w:themeColor="text1"/>
          <w:lang w:val="en-GB"/>
        </w:rPr>
        <w:lastRenderedPageBreak/>
        <w:t xml:space="preserve">and 7, read together with article 2, paragraph 3. The Committee considers that, taken together, the circumstances require the Committee to conclude that the author's own rights under article 7 have also been violated” (HRC, </w:t>
      </w:r>
      <w:r w:rsidRPr="00B62920">
        <w:rPr>
          <w:i/>
          <w:color w:val="000000" w:themeColor="text1"/>
          <w:lang w:val="en-GB"/>
        </w:rPr>
        <w:t>Amirov</w:t>
      </w:r>
      <w:r w:rsidRPr="00B62920">
        <w:rPr>
          <w:color w:val="000000" w:themeColor="text1"/>
          <w:lang w:val="en-GB"/>
        </w:rPr>
        <w:t>, cited in §</w:t>
      </w:r>
      <w:r w:rsidR="00FC30AF" w:rsidRPr="00B62920">
        <w:rPr>
          <w:color w:val="000000" w:themeColor="text1"/>
          <w:lang w:val="en-GB"/>
        </w:rPr>
        <w:t xml:space="preserve"> </w:t>
      </w:r>
      <w:r w:rsidR="00FC30AF" w:rsidRPr="00B62920">
        <w:rPr>
          <w:color w:val="000000" w:themeColor="text1"/>
          <w:lang w:val="en-GB"/>
        </w:rPr>
        <w:fldChar w:fldCharType="begin"/>
      </w:r>
      <w:r w:rsidR="00FC30AF" w:rsidRPr="00B62920">
        <w:rPr>
          <w:color w:val="000000" w:themeColor="text1"/>
          <w:lang w:val="en-GB"/>
        </w:rPr>
        <w:instrText xml:space="preserve"> REF _Ref404685440 \r \h </w:instrText>
      </w:r>
      <w:r w:rsidR="000D2756" w:rsidRPr="00B62920">
        <w:rPr>
          <w:color w:val="000000" w:themeColor="text1"/>
          <w:lang w:val="en-GB"/>
        </w:rPr>
        <w:instrText xml:space="preserve"> \* MERGEFORMAT </w:instrText>
      </w:r>
      <w:r w:rsidR="00FC30AF" w:rsidRPr="00B62920">
        <w:rPr>
          <w:color w:val="000000" w:themeColor="text1"/>
          <w:lang w:val="en-GB"/>
        </w:rPr>
      </w:r>
      <w:r w:rsidR="00FC30AF" w:rsidRPr="00B62920">
        <w:rPr>
          <w:color w:val="000000" w:themeColor="text1"/>
          <w:lang w:val="en-GB"/>
        </w:rPr>
        <w:fldChar w:fldCharType="separate"/>
      </w:r>
      <w:r w:rsidR="00B52E51">
        <w:rPr>
          <w:color w:val="000000" w:themeColor="text1"/>
          <w:lang w:val="en-GB"/>
        </w:rPr>
        <w:t>83</w:t>
      </w:r>
      <w:r w:rsidR="00FC30AF" w:rsidRPr="00B62920">
        <w:rPr>
          <w:color w:val="000000" w:themeColor="text1"/>
          <w:lang w:val="en-GB"/>
        </w:rPr>
        <w:fldChar w:fldCharType="end"/>
      </w:r>
      <w:r w:rsidRPr="00B62920">
        <w:rPr>
          <w:color w:val="000000" w:themeColor="text1"/>
          <w:lang w:val="en-GB"/>
        </w:rPr>
        <w:t xml:space="preserve"> above, at § 11.7).</w:t>
      </w:r>
    </w:p>
    <w:p w:rsidR="00711F6E" w:rsidRPr="00B62920" w:rsidRDefault="00711F6E" w:rsidP="00711F6E">
      <w:pPr>
        <w:tabs>
          <w:tab w:val="num" w:pos="450"/>
        </w:tabs>
        <w:suppressAutoHyphens/>
        <w:autoSpaceDE w:val="0"/>
        <w:ind w:left="450" w:hanging="450"/>
        <w:jc w:val="both"/>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 xml:space="preserve">The Panel also takes into account that according to the European Court, the analysis of the authorities’ reaction should not be confined to any specific manifestation of the authorities’ attitudes, isolated incidents or procedural acts; on the contrary, in the Court’s view, an assessment of the way in which the authorities of the respondent State reacted to the applicants’ enquiries should be global and continuous (see ECtHR, </w:t>
      </w:r>
      <w:r w:rsidRPr="00B62920">
        <w:rPr>
          <w:i/>
          <w:color w:val="000000" w:themeColor="text1"/>
          <w:lang w:val="en-GB"/>
        </w:rPr>
        <w:t>Açiș v. Turkey</w:t>
      </w:r>
      <w:r w:rsidRPr="00B62920">
        <w:rPr>
          <w:color w:val="000000" w:themeColor="text1"/>
          <w:lang w:val="en-GB"/>
        </w:rPr>
        <w:t>, no. 7050/05, judgment of 1 February 2011, § 45).</w:t>
      </w:r>
    </w:p>
    <w:p w:rsidR="00711F6E" w:rsidRPr="00B62920" w:rsidRDefault="00711F6E" w:rsidP="00711F6E">
      <w:pPr>
        <w:pStyle w:val="ListParagraph"/>
        <w:tabs>
          <w:tab w:val="num" w:pos="450"/>
        </w:tabs>
        <w:ind w:left="450" w:hanging="450"/>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 xml:space="preserve">In this respect, it is the position of the European Court that findings under the procedural limb of Article 2 would also be of direct relevance in considering the existence of a violation of Article 3 (see ECtHR, </w:t>
      </w:r>
      <w:r w:rsidRPr="00B62920">
        <w:rPr>
          <w:i/>
          <w:color w:val="000000" w:themeColor="text1"/>
          <w:lang w:val="en-GB"/>
        </w:rPr>
        <w:t>Basayeva and Others v. Russia</w:t>
      </w:r>
      <w:r w:rsidRPr="00B62920">
        <w:rPr>
          <w:color w:val="000000" w:themeColor="text1"/>
          <w:lang w:val="en-GB"/>
        </w:rPr>
        <w:t xml:space="preserve">, cited in § </w:t>
      </w:r>
      <w:r w:rsidRPr="00B62920">
        <w:fldChar w:fldCharType="begin"/>
      </w:r>
      <w:r w:rsidRPr="00B62920">
        <w:instrText xml:space="preserve"> REF _Ref374623221 \r \h  \* MERGEFORMAT </w:instrText>
      </w:r>
      <w:r w:rsidRPr="00B62920">
        <w:fldChar w:fldCharType="separate"/>
      </w:r>
      <w:r w:rsidR="00B52E51" w:rsidRPr="00B52E51">
        <w:rPr>
          <w:color w:val="000000" w:themeColor="text1"/>
          <w:lang w:val="en-GB"/>
        </w:rPr>
        <w:t>129</w:t>
      </w:r>
      <w:r w:rsidRPr="00B62920">
        <w:fldChar w:fldCharType="end"/>
      </w:r>
      <w:r w:rsidRPr="00B62920">
        <w:rPr>
          <w:color w:val="000000" w:themeColor="text1"/>
          <w:lang w:val="en-GB"/>
        </w:rPr>
        <w:t xml:space="preserve"> above, at § 109; ECtHR, </w:t>
      </w:r>
      <w:r w:rsidRPr="00B62920">
        <w:rPr>
          <w:i/>
          <w:color w:val="000000" w:themeColor="text1"/>
          <w:lang w:val="en-GB"/>
        </w:rPr>
        <w:t>Gelayevy v. Russia</w:t>
      </w:r>
      <w:r w:rsidRPr="00B62920">
        <w:rPr>
          <w:color w:val="000000" w:themeColor="text1"/>
          <w:lang w:val="en-GB"/>
        </w:rPr>
        <w:t xml:space="preserve">, cited in § </w:t>
      </w:r>
      <w:r w:rsidRPr="00B62920">
        <w:fldChar w:fldCharType="begin"/>
      </w:r>
      <w:r w:rsidRPr="00B62920">
        <w:instrText xml:space="preserve"> REF _Ref374623316 \r \h  \* MERGEFORMAT </w:instrText>
      </w:r>
      <w:r w:rsidRPr="00B62920">
        <w:fldChar w:fldCharType="separate"/>
      </w:r>
      <w:r w:rsidR="00B52E51" w:rsidRPr="00B52E51">
        <w:rPr>
          <w:color w:val="000000" w:themeColor="text1"/>
          <w:lang w:val="en-GB"/>
        </w:rPr>
        <w:t>119</w:t>
      </w:r>
      <w:r w:rsidRPr="00B62920">
        <w:fldChar w:fldCharType="end"/>
      </w:r>
      <w:r w:rsidRPr="00B62920">
        <w:rPr>
          <w:color w:val="000000" w:themeColor="text1"/>
          <w:lang w:val="en-GB"/>
        </w:rPr>
        <w:t xml:space="preserve"> above, at § 147; ECtHR, </w:t>
      </w:r>
      <w:r w:rsidRPr="00B62920">
        <w:rPr>
          <w:i/>
          <w:color w:val="000000" w:themeColor="text1"/>
          <w:lang w:val="en-GB"/>
        </w:rPr>
        <w:t>Bazorkina v. Russia</w:t>
      </w:r>
      <w:r w:rsidRPr="00B62920">
        <w:rPr>
          <w:color w:val="000000" w:themeColor="text1"/>
          <w:lang w:val="en-GB"/>
        </w:rPr>
        <w:t xml:space="preserve">, cited in § </w:t>
      </w:r>
      <w:r w:rsidR="00FC30AF" w:rsidRPr="00B62920">
        <w:fldChar w:fldCharType="begin"/>
      </w:r>
      <w:r w:rsidR="00FC30AF" w:rsidRPr="00B62920">
        <w:rPr>
          <w:color w:val="000000" w:themeColor="text1"/>
          <w:lang w:val="en-GB"/>
        </w:rPr>
        <w:instrText xml:space="preserve"> REF _Ref366241459 \r \h </w:instrText>
      </w:r>
      <w:r w:rsidR="000D2756" w:rsidRPr="00B62920">
        <w:instrText xml:space="preserve"> \* MERGEFORMAT </w:instrText>
      </w:r>
      <w:r w:rsidR="00FC30AF" w:rsidRPr="00B62920">
        <w:fldChar w:fldCharType="separate"/>
      </w:r>
      <w:r w:rsidR="00B52E51">
        <w:rPr>
          <w:color w:val="000000" w:themeColor="text1"/>
          <w:lang w:val="en-GB"/>
        </w:rPr>
        <w:t>82</w:t>
      </w:r>
      <w:r w:rsidR="00FC30AF" w:rsidRPr="00B62920">
        <w:fldChar w:fldCharType="end"/>
      </w:r>
      <w:r w:rsidRPr="00B62920">
        <w:rPr>
          <w:color w:val="000000" w:themeColor="text1"/>
          <w:lang w:val="en-GB"/>
        </w:rPr>
        <w:t xml:space="preserve"> above, at § 140).</w:t>
      </w:r>
    </w:p>
    <w:p w:rsidR="00711F6E" w:rsidRPr="00B62920" w:rsidRDefault="00711F6E" w:rsidP="00711F6E">
      <w:pPr>
        <w:pStyle w:val="ListParagraph"/>
        <w:tabs>
          <w:tab w:val="num" w:pos="450"/>
        </w:tabs>
        <w:ind w:left="450" w:hanging="450"/>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 xml:space="preserve">The Panel observes that the European Court has already found violations of Article 3 of the ECHR in relation to disappearances in which the State itself was found to be responsible for the abduction (see ECtHR, </w:t>
      </w:r>
      <w:r w:rsidRPr="00B62920">
        <w:rPr>
          <w:i/>
          <w:color w:val="000000" w:themeColor="text1"/>
          <w:lang w:val="en-GB"/>
        </w:rPr>
        <w:t>Luluyev and Others v. Russia</w:t>
      </w:r>
      <w:r w:rsidRPr="00B62920">
        <w:rPr>
          <w:color w:val="000000" w:themeColor="text1"/>
          <w:lang w:val="en-GB"/>
        </w:rPr>
        <w:t xml:space="preserve">, no. 69480/01, judgment of 9 November 2006, §§ 117 - 118; ECtHR, </w:t>
      </w:r>
      <w:r w:rsidRPr="00B62920">
        <w:rPr>
          <w:i/>
          <w:color w:val="000000" w:themeColor="text1"/>
          <w:lang w:val="en-GB"/>
        </w:rPr>
        <w:t>Kukayev v. Russia</w:t>
      </w:r>
      <w:r w:rsidRPr="00B62920">
        <w:rPr>
          <w:color w:val="000000" w:themeColor="text1"/>
          <w:lang w:val="en-GB"/>
        </w:rPr>
        <w:t>, no. 29361/02, judgment of 15 November 2007, §§ 107 - 110). However, in contrast, in the case under the Panel’s consideration, in no way is UNMIK implicated in the actual disappearance and UNMIK cannot be held responsible for the applicant’s mental distress caused by the commission of the crime itself.</w:t>
      </w:r>
    </w:p>
    <w:p w:rsidR="00711F6E" w:rsidRPr="00B62920" w:rsidRDefault="00711F6E" w:rsidP="00711F6E">
      <w:pPr>
        <w:pStyle w:val="ListParagraph"/>
        <w:tabs>
          <w:tab w:val="num" w:pos="450"/>
        </w:tabs>
        <w:ind w:left="450" w:hanging="450"/>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 xml:space="preserve">The Panel is mindful that in the absence of a finding of State responsibility for the disappearance, the European Court has ruled that it is not persuaded that the authorities’ conduct, albeit negligent to the extent that it has breached Article 2 in its procedural aspect, </w:t>
      </w:r>
      <w:r w:rsidRPr="00B62920">
        <w:rPr>
          <w:rStyle w:val="sb8d990e2"/>
          <w:color w:val="000000" w:themeColor="text1"/>
          <w:lang w:val="en-GB"/>
        </w:rPr>
        <w:t>could have in itself</w:t>
      </w:r>
      <w:r w:rsidRPr="00B62920">
        <w:rPr>
          <w:color w:val="000000" w:themeColor="text1"/>
          <w:lang w:val="en-GB"/>
        </w:rPr>
        <w:t xml:space="preserve"> caused the applicant mental distress in excess of the minimum level of severity, which is necessary in order to consider treatment as falling within the scope of Article 3 (see, among others, ECtHR, </w:t>
      </w:r>
      <w:r w:rsidRPr="00B62920">
        <w:rPr>
          <w:i/>
          <w:color w:val="000000" w:themeColor="text1"/>
          <w:lang w:val="en-GB"/>
        </w:rPr>
        <w:t>Tovsultanova v. Russia</w:t>
      </w:r>
      <w:r w:rsidRPr="00B62920">
        <w:rPr>
          <w:color w:val="000000" w:themeColor="text1"/>
          <w:lang w:val="en-GB"/>
        </w:rPr>
        <w:t xml:space="preserve">, no. 26974/06, judgment of 17 June 2010, § 104; ECtHR, </w:t>
      </w:r>
      <w:r w:rsidRPr="00B62920">
        <w:rPr>
          <w:i/>
          <w:color w:val="000000" w:themeColor="text1"/>
          <w:lang w:val="en-GB"/>
        </w:rPr>
        <w:t>Shafiyeva v. Russia</w:t>
      </w:r>
      <w:r w:rsidRPr="00B62920">
        <w:rPr>
          <w:color w:val="000000" w:themeColor="text1"/>
          <w:lang w:val="en-GB"/>
        </w:rPr>
        <w:t>, no. 49379/09, judgment of 3 May 2012, § 103).</w:t>
      </w:r>
    </w:p>
    <w:p w:rsidR="00711F6E" w:rsidRPr="00B62920" w:rsidRDefault="00711F6E" w:rsidP="00711F6E">
      <w:pPr>
        <w:pStyle w:val="Default"/>
        <w:tabs>
          <w:tab w:val="left" w:pos="360"/>
          <w:tab w:val="left" w:pos="540"/>
          <w:tab w:val="left" w:pos="720"/>
        </w:tabs>
        <w:ind w:left="450" w:hanging="450"/>
        <w:jc w:val="both"/>
        <w:rPr>
          <w:color w:val="000000" w:themeColor="text1"/>
          <w:lang w:val="en-GB"/>
        </w:rPr>
      </w:pPr>
    </w:p>
    <w:p w:rsidR="00711F6E" w:rsidRPr="00B62920" w:rsidRDefault="00711F6E" w:rsidP="00711F6E">
      <w:pPr>
        <w:pStyle w:val="ListParagraph1"/>
        <w:numPr>
          <w:ilvl w:val="0"/>
          <w:numId w:val="16"/>
        </w:numPr>
        <w:ind w:left="360"/>
        <w:jc w:val="both"/>
        <w:rPr>
          <w:i/>
          <w:color w:val="000000" w:themeColor="text1"/>
          <w:lang w:eastAsia="en-US"/>
        </w:rPr>
      </w:pPr>
      <w:r w:rsidRPr="00B62920">
        <w:rPr>
          <w:i/>
          <w:color w:val="000000" w:themeColor="text1"/>
          <w:lang w:eastAsia="en-US"/>
        </w:rPr>
        <w:t>Applicability of Article 3 to the Kosovo context</w:t>
      </w:r>
    </w:p>
    <w:p w:rsidR="00711F6E" w:rsidRPr="00B62920" w:rsidRDefault="00711F6E" w:rsidP="00711F6E">
      <w:pPr>
        <w:pStyle w:val="Default"/>
        <w:tabs>
          <w:tab w:val="left" w:pos="360"/>
          <w:tab w:val="left" w:pos="540"/>
          <w:tab w:val="left" w:pos="720"/>
        </w:tabs>
        <w:ind w:hanging="360"/>
        <w:jc w:val="both"/>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 xml:space="preserve">With regard to the </w:t>
      </w:r>
      <w:r w:rsidRPr="00B62920">
        <w:rPr>
          <w:rStyle w:val="sb8d990e2"/>
          <w:color w:val="000000" w:themeColor="text1"/>
        </w:rPr>
        <w:t>applicability</w:t>
      </w:r>
      <w:r w:rsidRPr="00B62920">
        <w:rPr>
          <w:color w:val="000000" w:themeColor="text1"/>
          <w:lang w:val="en-GB"/>
        </w:rPr>
        <w:t xml:space="preserve"> of the above standards to the Kosovo context, the Panel first refers to its view on the same issue with regard to Article 2, developed above (see §§ </w:t>
      </w:r>
      <w:r w:rsidRPr="00B62920">
        <w:fldChar w:fldCharType="begin"/>
      </w:r>
      <w:r w:rsidRPr="00B62920">
        <w:rPr>
          <w:color w:val="000000" w:themeColor="text1"/>
          <w:lang w:val="en-GB"/>
        </w:rPr>
        <w:instrText xml:space="preserve"> REF _Ref366163783 \r \h </w:instrText>
      </w:r>
      <w:r w:rsidR="000D2756" w:rsidRPr="00B62920">
        <w:instrText xml:space="preserve"> \* MERGEFORMAT </w:instrText>
      </w:r>
      <w:r w:rsidRPr="00B62920">
        <w:fldChar w:fldCharType="separate"/>
      </w:r>
      <w:r w:rsidR="00B52E51">
        <w:rPr>
          <w:color w:val="000000" w:themeColor="text1"/>
          <w:lang w:val="en-GB"/>
        </w:rPr>
        <w:t>77</w:t>
      </w:r>
      <w:r w:rsidRPr="00B62920">
        <w:fldChar w:fldCharType="end"/>
      </w:r>
      <w:r w:rsidRPr="00B62920">
        <w:rPr>
          <w:color w:val="000000" w:themeColor="text1"/>
          <w:lang w:val="en-GB"/>
        </w:rPr>
        <w:t xml:space="preserve"> - </w:t>
      </w:r>
      <w:r w:rsidRPr="00B62920">
        <w:fldChar w:fldCharType="begin"/>
      </w:r>
      <w:r w:rsidRPr="00B62920">
        <w:rPr>
          <w:color w:val="000000" w:themeColor="text1"/>
          <w:lang w:val="en-GB"/>
        </w:rPr>
        <w:instrText xml:space="preserve"> REF _Ref403834230 \r \h </w:instrText>
      </w:r>
      <w:r w:rsidR="000D2756" w:rsidRPr="00B62920">
        <w:instrText xml:space="preserve"> \* MERGEFORMAT </w:instrText>
      </w:r>
      <w:r w:rsidRPr="00B62920">
        <w:fldChar w:fldCharType="separate"/>
      </w:r>
      <w:r w:rsidR="00B52E51">
        <w:rPr>
          <w:color w:val="000000" w:themeColor="text1"/>
          <w:lang w:val="en-GB"/>
        </w:rPr>
        <w:t>87</w:t>
      </w:r>
      <w:r w:rsidRPr="00B62920">
        <w:fldChar w:fldCharType="end"/>
      </w:r>
      <w:r w:rsidRPr="00B62920">
        <w:rPr>
          <w:color w:val="000000" w:themeColor="text1"/>
          <w:lang w:val="en-GB"/>
        </w:rPr>
        <w:t xml:space="preserve"> above).</w:t>
      </w:r>
    </w:p>
    <w:p w:rsidR="00711F6E" w:rsidRPr="00B62920" w:rsidRDefault="00711F6E" w:rsidP="00711F6E">
      <w:pPr>
        <w:pStyle w:val="Default"/>
        <w:tabs>
          <w:tab w:val="num" w:pos="450"/>
        </w:tabs>
        <w:ind w:left="450" w:hanging="450"/>
        <w:jc w:val="both"/>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 xml:space="preserve">The Panel reiterates that a normally functioning law enforcement system should take into account the protection needs of victims and witnesses, as well as to consider the special vulnerability of displaced persons in post-conflict situations. The Panel has already considered the fact that by 2003 the police and justice system in Kosovo was described by the UN Secretary-General as being “well-functioning” and “sustainable” (see § </w:t>
      </w:r>
      <w:r w:rsidR="00FC30AF" w:rsidRPr="00B62920">
        <w:rPr>
          <w:color w:val="000000" w:themeColor="text1"/>
          <w:lang w:val="en-GB"/>
        </w:rPr>
        <w:fldChar w:fldCharType="begin"/>
      </w:r>
      <w:r w:rsidR="00FC30AF" w:rsidRPr="00B62920">
        <w:rPr>
          <w:color w:val="000000" w:themeColor="text1"/>
          <w:lang w:val="en-GB"/>
        </w:rPr>
        <w:instrText xml:space="preserve"> REF _Ref346123767 \r \h </w:instrText>
      </w:r>
      <w:r w:rsidR="000D2756" w:rsidRPr="00B62920">
        <w:rPr>
          <w:color w:val="000000" w:themeColor="text1"/>
          <w:lang w:val="en-GB"/>
        </w:rPr>
        <w:instrText xml:space="preserve"> \* MERGEFORMAT </w:instrText>
      </w:r>
      <w:r w:rsidR="00FC30AF" w:rsidRPr="00B62920">
        <w:rPr>
          <w:color w:val="000000" w:themeColor="text1"/>
          <w:lang w:val="en-GB"/>
        </w:rPr>
      </w:r>
      <w:r w:rsidR="00FC30AF" w:rsidRPr="00B62920">
        <w:rPr>
          <w:color w:val="000000" w:themeColor="text1"/>
          <w:lang w:val="en-GB"/>
        </w:rPr>
        <w:fldChar w:fldCharType="separate"/>
      </w:r>
      <w:r w:rsidR="00B52E51">
        <w:rPr>
          <w:color w:val="000000" w:themeColor="text1"/>
          <w:lang w:val="en-GB"/>
        </w:rPr>
        <w:t>16</w:t>
      </w:r>
      <w:r w:rsidR="00FC30AF" w:rsidRPr="00B62920">
        <w:rPr>
          <w:color w:val="000000" w:themeColor="text1"/>
          <w:lang w:val="en-GB"/>
        </w:rPr>
        <w:fldChar w:fldCharType="end"/>
      </w:r>
      <w:r w:rsidR="00FC30AF" w:rsidRPr="00B62920">
        <w:rPr>
          <w:color w:val="000000" w:themeColor="text1"/>
          <w:lang w:val="en-GB"/>
        </w:rPr>
        <w:t xml:space="preserve"> </w:t>
      </w:r>
      <w:r w:rsidRPr="00B62920">
        <w:rPr>
          <w:color w:val="000000" w:themeColor="text1"/>
          <w:lang w:val="en-GB"/>
        </w:rPr>
        <w:t>above).</w:t>
      </w:r>
    </w:p>
    <w:p w:rsidR="00711F6E" w:rsidRPr="00B62920" w:rsidRDefault="00711F6E" w:rsidP="00711F6E">
      <w:pPr>
        <w:pStyle w:val="ListParagraph"/>
        <w:tabs>
          <w:tab w:val="num" w:pos="450"/>
        </w:tabs>
        <w:ind w:left="450" w:hanging="450"/>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 xml:space="preserve">The Panel again notes that it will not review relevant practices or alleged obstacles to the conduct of effective investigations </w:t>
      </w:r>
      <w:r w:rsidRPr="00B62920">
        <w:rPr>
          <w:i/>
          <w:color w:val="000000" w:themeColor="text1"/>
          <w:lang w:val="en-GB"/>
        </w:rPr>
        <w:t>in abstracto</w:t>
      </w:r>
      <w:r w:rsidRPr="00B62920">
        <w:rPr>
          <w:color w:val="000000" w:themeColor="text1"/>
          <w:lang w:val="en-GB"/>
        </w:rPr>
        <w:t>, but only in relation to their specific application to the complaint before it, considering the particular circumstances of the case.</w:t>
      </w:r>
    </w:p>
    <w:p w:rsidR="00711F6E" w:rsidRPr="00B62920" w:rsidRDefault="00711F6E" w:rsidP="00711F6E">
      <w:pPr>
        <w:pStyle w:val="ListParagraph"/>
        <w:tabs>
          <w:tab w:val="num" w:pos="450"/>
        </w:tabs>
        <w:ind w:left="450" w:hanging="450"/>
        <w:rPr>
          <w:color w:val="000000" w:themeColor="text1"/>
          <w:lang w:val="en-GB"/>
        </w:rPr>
      </w:pPr>
    </w:p>
    <w:p w:rsidR="002B7A39" w:rsidRPr="00B62920" w:rsidRDefault="00711F6E" w:rsidP="00711F6E">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For these reasons, the Panel considers that it has to establish with regard to each case whether the attitude and reactions of UNMIK authorities to the disappearance itself and to the complainants’ quest for information with regard to the fate of their relatives and the criminal investigation, would amount to a violation of the obligation under Article 3, having regard to the realities in Kosovo at the relevant time.</w:t>
      </w:r>
    </w:p>
    <w:p w:rsidR="002B7A39" w:rsidRPr="00B62920" w:rsidRDefault="002B7A39" w:rsidP="00711F6E">
      <w:pPr>
        <w:rPr>
          <w:i/>
          <w:color w:val="000000" w:themeColor="text1"/>
          <w:lang w:val="en-GB"/>
        </w:rPr>
      </w:pPr>
    </w:p>
    <w:p w:rsidR="00711F6E" w:rsidRPr="00B62920" w:rsidRDefault="00711F6E" w:rsidP="00711F6E">
      <w:pPr>
        <w:pStyle w:val="ListParagraph1"/>
        <w:numPr>
          <w:ilvl w:val="0"/>
          <w:numId w:val="16"/>
        </w:numPr>
        <w:ind w:left="360"/>
        <w:jc w:val="both"/>
        <w:rPr>
          <w:color w:val="000000" w:themeColor="text1"/>
        </w:rPr>
      </w:pPr>
      <w:r w:rsidRPr="00B62920">
        <w:rPr>
          <w:i/>
          <w:color w:val="000000" w:themeColor="text1"/>
          <w:lang w:eastAsia="en-US"/>
        </w:rPr>
        <w:t>Compliance</w:t>
      </w:r>
      <w:r w:rsidRPr="00B62920">
        <w:rPr>
          <w:i/>
          <w:color w:val="000000" w:themeColor="text1"/>
        </w:rPr>
        <w:t xml:space="preserve"> with Article 3 in the present case</w:t>
      </w:r>
    </w:p>
    <w:p w:rsidR="00711F6E" w:rsidRPr="00B62920" w:rsidRDefault="00711F6E" w:rsidP="00711F6E">
      <w:pPr>
        <w:pStyle w:val="ListParagraph"/>
        <w:ind w:left="360"/>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Against this background, the Panel discerns a number of factors in the present case which, taken together, raise the question of violation of Article 3 of the ECHR.</w:t>
      </w:r>
    </w:p>
    <w:p w:rsidR="00711F6E" w:rsidRPr="00B62920" w:rsidRDefault="00711F6E" w:rsidP="00711F6E">
      <w:pPr>
        <w:pStyle w:val="Default"/>
        <w:tabs>
          <w:tab w:val="num" w:pos="450"/>
        </w:tabs>
        <w:ind w:left="450" w:hanging="450"/>
        <w:jc w:val="both"/>
        <w:rPr>
          <w:color w:val="000000" w:themeColor="text1"/>
          <w:lang w:val="en-GB"/>
        </w:rPr>
      </w:pPr>
    </w:p>
    <w:p w:rsidR="00DD33CB" w:rsidRPr="00B62920" w:rsidRDefault="00711F6E" w:rsidP="00DD33CB">
      <w:pPr>
        <w:pStyle w:val="ListParagraph"/>
        <w:numPr>
          <w:ilvl w:val="0"/>
          <w:numId w:val="2"/>
        </w:numPr>
        <w:tabs>
          <w:tab w:val="clear" w:pos="360"/>
          <w:tab w:val="num" w:pos="450"/>
        </w:tabs>
        <w:autoSpaceDE w:val="0"/>
        <w:ind w:left="450" w:hanging="450"/>
        <w:jc w:val="both"/>
        <w:rPr>
          <w:color w:val="000000" w:themeColor="text1"/>
        </w:rPr>
      </w:pPr>
      <w:r w:rsidRPr="00B62920">
        <w:rPr>
          <w:color w:val="000000" w:themeColor="text1"/>
          <w:lang w:val="en-GB"/>
        </w:rPr>
        <w:t xml:space="preserve">The Panel notes the proximity of the family ties between the complainant and </w:t>
      </w:r>
      <w:r w:rsidR="007C59FC" w:rsidRPr="00B62920">
        <w:t xml:space="preserve">Mr Duško </w:t>
      </w:r>
      <w:r w:rsidR="007C59FC" w:rsidRPr="00B62920">
        <w:rPr>
          <w:lang w:val="en-GB"/>
        </w:rPr>
        <w:t>Karanović</w:t>
      </w:r>
      <w:r w:rsidRPr="00B62920">
        <w:rPr>
          <w:color w:val="000000" w:themeColor="text1"/>
        </w:rPr>
        <w:t xml:space="preserve">, as the latter is the complainant’s </w:t>
      </w:r>
      <w:r w:rsidR="007C59FC" w:rsidRPr="00B62920">
        <w:rPr>
          <w:color w:val="000000" w:themeColor="text1"/>
        </w:rPr>
        <w:t>brother</w:t>
      </w:r>
      <w:r w:rsidR="006E0599" w:rsidRPr="00B62920">
        <w:rPr>
          <w:color w:val="000000" w:themeColor="text1"/>
        </w:rPr>
        <w:t xml:space="preserve">. </w:t>
      </w:r>
      <w:r w:rsidR="00DD33CB" w:rsidRPr="00B62920">
        <w:rPr>
          <w:color w:val="000000" w:themeColor="text1"/>
        </w:rPr>
        <w:t xml:space="preserve">Accordingly, the Panel has no doubt that </w:t>
      </w:r>
      <w:r w:rsidR="007C59FC" w:rsidRPr="00B62920">
        <w:rPr>
          <w:color w:val="000000" w:themeColor="text1"/>
        </w:rPr>
        <w:t>s</w:t>
      </w:r>
      <w:r w:rsidR="00DD33CB" w:rsidRPr="00B62920">
        <w:rPr>
          <w:color w:val="000000" w:themeColor="text1"/>
        </w:rPr>
        <w:t xml:space="preserve">he indeed has suffered serious emotional distress since </w:t>
      </w:r>
      <w:r w:rsidR="007C59FC" w:rsidRPr="00B62920">
        <w:t xml:space="preserve">Mr Duško </w:t>
      </w:r>
      <w:r w:rsidR="007C59FC" w:rsidRPr="00B62920">
        <w:rPr>
          <w:lang w:val="en-GB"/>
        </w:rPr>
        <w:t>Karanović</w:t>
      </w:r>
      <w:r w:rsidR="006E0599" w:rsidRPr="00B62920">
        <w:rPr>
          <w:color w:val="000000" w:themeColor="text1"/>
        </w:rPr>
        <w:t xml:space="preserve">’s disappearance, </w:t>
      </w:r>
      <w:r w:rsidR="00DD33CB" w:rsidRPr="00B62920">
        <w:rPr>
          <w:color w:val="000000" w:themeColor="text1"/>
        </w:rPr>
        <w:t>which took place in June 1999.</w:t>
      </w:r>
    </w:p>
    <w:p w:rsidR="00711F6E" w:rsidRPr="00B62920" w:rsidRDefault="00711F6E" w:rsidP="00DD33CB">
      <w:pPr>
        <w:tabs>
          <w:tab w:val="num" w:pos="450"/>
        </w:tabs>
        <w:autoSpaceDE w:val="0"/>
        <w:jc w:val="both"/>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The Panel recalls the failure established above in relation to the procedural obligation under Article 2, despite the fact that UNMIK Police had the minimum necessary information to pursue investigation from the outset. In this respect, the Panel reiterates that from the standpoint of Article 3 it may examine UNMIK’s reactions and attitudes to the complainant in their entirety.</w:t>
      </w:r>
    </w:p>
    <w:p w:rsidR="00711F6E" w:rsidRPr="00B62920" w:rsidRDefault="00711F6E" w:rsidP="00711F6E">
      <w:pPr>
        <w:pStyle w:val="ListParagraph"/>
        <w:ind w:left="450" w:hanging="450"/>
        <w:rPr>
          <w:color w:val="000000" w:themeColor="text1"/>
          <w:lang w:val="en-GB"/>
        </w:rPr>
      </w:pPr>
    </w:p>
    <w:p w:rsidR="00711F6E" w:rsidRPr="00B62920" w:rsidRDefault="00711F6E" w:rsidP="00711F6E">
      <w:pPr>
        <w:numPr>
          <w:ilvl w:val="0"/>
          <w:numId w:val="2"/>
        </w:numPr>
        <w:tabs>
          <w:tab w:val="left" w:pos="709"/>
        </w:tabs>
        <w:suppressAutoHyphens/>
        <w:autoSpaceDE w:val="0"/>
        <w:ind w:left="450" w:hanging="450"/>
        <w:jc w:val="both"/>
        <w:rPr>
          <w:color w:val="000000" w:themeColor="text1"/>
          <w:lang w:val="en-GB"/>
        </w:rPr>
      </w:pPr>
      <w:r w:rsidRPr="00B62920">
        <w:rPr>
          <w:color w:val="000000" w:themeColor="text1"/>
          <w:lang w:val="en-GB"/>
        </w:rPr>
        <w:t>As was shown above with regard to Article 2, no proper investigation was conducted in this case. There has been no evidence presented in the file concerning contact between the complainant</w:t>
      </w:r>
      <w:r w:rsidR="00874A40" w:rsidRPr="00B62920">
        <w:rPr>
          <w:color w:val="000000" w:themeColor="text1"/>
          <w:lang w:val="en-GB"/>
        </w:rPr>
        <w:t>’s family</w:t>
      </w:r>
      <w:r w:rsidRPr="00B62920">
        <w:rPr>
          <w:color w:val="000000" w:themeColor="text1"/>
          <w:lang w:val="en-GB"/>
        </w:rPr>
        <w:t xml:space="preserve"> and UNMIK authorities</w:t>
      </w:r>
      <w:r w:rsidR="009A6E2B" w:rsidRPr="00B62920">
        <w:rPr>
          <w:color w:val="000000" w:themeColor="text1"/>
          <w:lang w:val="en-GB"/>
        </w:rPr>
        <w:t xml:space="preserve"> with the exception of one telephone conversation</w:t>
      </w:r>
      <w:r w:rsidR="00874A40" w:rsidRPr="00B62920">
        <w:rPr>
          <w:color w:val="000000" w:themeColor="text1"/>
          <w:lang w:val="en-GB"/>
        </w:rPr>
        <w:t xml:space="preserve"> with </w:t>
      </w:r>
      <w:r w:rsidR="006E0599" w:rsidRPr="00B62920">
        <w:t>the complainant</w:t>
      </w:r>
      <w:r w:rsidR="00AA7E95" w:rsidRPr="00B62920">
        <w:t>,</w:t>
      </w:r>
      <w:r w:rsidR="007C59FC" w:rsidRPr="00B62920">
        <w:rPr>
          <w:color w:val="000000" w:themeColor="text1"/>
          <w:lang w:val="en-GB"/>
        </w:rPr>
        <w:t xml:space="preserve"> apparently held between</w:t>
      </w:r>
      <w:r w:rsidR="006E0599" w:rsidRPr="00B62920">
        <w:rPr>
          <w:color w:val="000000" w:themeColor="text1"/>
          <w:lang w:val="en-GB"/>
        </w:rPr>
        <w:t xml:space="preserve"> 10 December 2004 </w:t>
      </w:r>
      <w:r w:rsidR="007C59FC" w:rsidRPr="00B62920">
        <w:rPr>
          <w:color w:val="000000" w:themeColor="text1"/>
          <w:lang w:val="en-GB"/>
        </w:rPr>
        <w:t>and 24 December 2004</w:t>
      </w:r>
      <w:r w:rsidR="006E0599" w:rsidRPr="00B62920">
        <w:rPr>
          <w:color w:val="000000" w:themeColor="text1"/>
          <w:lang w:val="en-GB"/>
        </w:rPr>
        <w:t xml:space="preserve"> </w:t>
      </w:r>
      <w:r w:rsidR="009A6E2B" w:rsidRPr="00B62920">
        <w:rPr>
          <w:color w:val="000000" w:themeColor="text1"/>
          <w:lang w:val="en-GB"/>
        </w:rPr>
        <w:t xml:space="preserve">(see § </w:t>
      </w:r>
      <w:r w:rsidR="007C59FC" w:rsidRPr="00B62920">
        <w:rPr>
          <w:color w:val="000000" w:themeColor="text1"/>
          <w:lang w:val="en-GB"/>
        </w:rPr>
        <w:fldChar w:fldCharType="begin"/>
      </w:r>
      <w:r w:rsidR="007C59FC" w:rsidRPr="00B62920">
        <w:rPr>
          <w:color w:val="000000" w:themeColor="text1"/>
          <w:lang w:val="en-GB"/>
        </w:rPr>
        <w:instrText xml:space="preserve"> REF _Ref420332596 \r \h </w:instrText>
      </w:r>
      <w:r w:rsidR="00B62920" w:rsidRPr="00B62920">
        <w:rPr>
          <w:color w:val="000000" w:themeColor="text1"/>
          <w:lang w:val="en-GB"/>
        </w:rPr>
        <w:instrText xml:space="preserve"> \* MERGEFORMAT </w:instrText>
      </w:r>
      <w:r w:rsidR="007C59FC" w:rsidRPr="00B62920">
        <w:rPr>
          <w:color w:val="000000" w:themeColor="text1"/>
          <w:lang w:val="en-GB"/>
        </w:rPr>
      </w:r>
      <w:r w:rsidR="007C59FC" w:rsidRPr="00B62920">
        <w:rPr>
          <w:color w:val="000000" w:themeColor="text1"/>
          <w:lang w:val="en-GB"/>
        </w:rPr>
        <w:fldChar w:fldCharType="separate"/>
      </w:r>
      <w:r w:rsidR="00B52E51">
        <w:rPr>
          <w:color w:val="000000" w:themeColor="text1"/>
          <w:lang w:val="en-GB"/>
        </w:rPr>
        <w:t>29</w:t>
      </w:r>
      <w:r w:rsidR="007C59FC" w:rsidRPr="00B62920">
        <w:rPr>
          <w:color w:val="000000" w:themeColor="text1"/>
          <w:lang w:val="en-GB"/>
        </w:rPr>
        <w:fldChar w:fldCharType="end"/>
      </w:r>
      <w:r w:rsidR="009A6E2B" w:rsidRPr="00B62920">
        <w:rPr>
          <w:color w:val="000000" w:themeColor="text1"/>
          <w:lang w:val="en-GB"/>
        </w:rPr>
        <w:t xml:space="preserve"> above)</w:t>
      </w:r>
      <w:r w:rsidRPr="00B62920">
        <w:rPr>
          <w:bCs/>
          <w:color w:val="000000" w:themeColor="text1"/>
          <w:lang w:val="en-GB"/>
        </w:rPr>
        <w:t>; likewise, no statement was ever taken from the complainant, any family member or witness</w:t>
      </w:r>
      <w:r w:rsidRPr="00B62920">
        <w:rPr>
          <w:color w:val="000000" w:themeColor="text1"/>
        </w:rPr>
        <w:t xml:space="preserve">. </w:t>
      </w:r>
    </w:p>
    <w:p w:rsidR="00711F6E" w:rsidRPr="00B62920" w:rsidRDefault="00711F6E" w:rsidP="00711F6E">
      <w:pPr>
        <w:tabs>
          <w:tab w:val="left" w:pos="709"/>
        </w:tabs>
        <w:suppressAutoHyphens/>
        <w:autoSpaceDE w:val="0"/>
        <w:jc w:val="both"/>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 xml:space="preserve">In view of the above, the Panel concludes that the complainant has suffered severe distress and anguish for a prolonged period of time on account of the way the authorities of UNMIK have dealt with the case and as a result of their inability during that time </w:t>
      </w:r>
      <w:r w:rsidR="007C59FC" w:rsidRPr="00B62920">
        <w:rPr>
          <w:color w:val="000000" w:themeColor="text1"/>
          <w:lang w:val="en-GB"/>
        </w:rPr>
        <w:t>to find out what happened to her</w:t>
      </w:r>
      <w:r w:rsidRPr="00B62920">
        <w:rPr>
          <w:color w:val="000000" w:themeColor="text1"/>
          <w:lang w:val="en-GB"/>
        </w:rPr>
        <w:t xml:space="preserve"> </w:t>
      </w:r>
      <w:r w:rsidR="007C59FC" w:rsidRPr="00B62920">
        <w:rPr>
          <w:color w:val="000000" w:themeColor="text1"/>
          <w:lang w:val="en-GB"/>
        </w:rPr>
        <w:t>brother</w:t>
      </w:r>
      <w:r w:rsidRPr="00B62920">
        <w:rPr>
          <w:color w:val="000000" w:themeColor="text1"/>
          <w:lang w:val="en-GB"/>
        </w:rPr>
        <w:t xml:space="preserve">. In this respect, it is obvious that, in any situation, the pain of </w:t>
      </w:r>
      <w:r w:rsidR="000D2756" w:rsidRPr="00B62920">
        <w:rPr>
          <w:color w:val="000000" w:themeColor="text1"/>
          <w:lang w:val="en-GB"/>
        </w:rPr>
        <w:t xml:space="preserve">a </w:t>
      </w:r>
      <w:r w:rsidR="007C59FC" w:rsidRPr="00B62920">
        <w:rPr>
          <w:color w:val="000000" w:themeColor="text1"/>
          <w:lang w:val="en-GB"/>
        </w:rPr>
        <w:t>sister</w:t>
      </w:r>
      <w:r w:rsidR="006E0599" w:rsidRPr="00B62920">
        <w:rPr>
          <w:color w:val="000000" w:themeColor="text1"/>
          <w:lang w:val="en-GB"/>
        </w:rPr>
        <w:t xml:space="preserve"> </w:t>
      </w:r>
      <w:r w:rsidRPr="00B62920">
        <w:rPr>
          <w:color w:val="000000" w:themeColor="text1"/>
          <w:lang w:val="en-GB"/>
        </w:rPr>
        <w:t>who has to live in uncertainty about the fate of h</w:t>
      </w:r>
      <w:r w:rsidR="007C59FC" w:rsidRPr="00B62920">
        <w:rPr>
          <w:color w:val="000000" w:themeColor="text1"/>
          <w:lang w:val="en-GB"/>
        </w:rPr>
        <w:t>er</w:t>
      </w:r>
      <w:r w:rsidR="000D2756" w:rsidRPr="00B62920">
        <w:rPr>
          <w:color w:val="000000" w:themeColor="text1"/>
          <w:lang w:val="en-GB"/>
        </w:rPr>
        <w:t xml:space="preserve"> </w:t>
      </w:r>
      <w:r w:rsidR="007C59FC" w:rsidRPr="00B62920">
        <w:rPr>
          <w:color w:val="000000" w:themeColor="text1"/>
          <w:lang w:val="en-GB"/>
        </w:rPr>
        <w:t>brother</w:t>
      </w:r>
      <w:r w:rsidR="00874A40" w:rsidRPr="00B62920">
        <w:rPr>
          <w:color w:val="000000" w:themeColor="text1"/>
          <w:lang w:val="en-GB"/>
        </w:rPr>
        <w:t xml:space="preserve"> </w:t>
      </w:r>
      <w:r w:rsidRPr="00B62920">
        <w:rPr>
          <w:color w:val="000000" w:themeColor="text1"/>
          <w:lang w:val="en-GB"/>
        </w:rPr>
        <w:t>must be unbearable.</w:t>
      </w:r>
    </w:p>
    <w:p w:rsidR="00711F6E" w:rsidRPr="00B62920" w:rsidRDefault="00711F6E" w:rsidP="00711F6E">
      <w:pPr>
        <w:pStyle w:val="Default"/>
        <w:tabs>
          <w:tab w:val="left" w:pos="360"/>
          <w:tab w:val="left" w:pos="709"/>
        </w:tabs>
        <w:jc w:val="both"/>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For the aforementioned reasons, the Panel concludes that, by its behaviour, UNMIK contributed to the complainant’s distress and mental suffering in violation of Article 3 of the ECHR.</w:t>
      </w:r>
    </w:p>
    <w:p w:rsidR="00711F6E" w:rsidRPr="00B62920" w:rsidRDefault="00711F6E" w:rsidP="00711F6E">
      <w:pPr>
        <w:pStyle w:val="ListParagraph"/>
        <w:rPr>
          <w:color w:val="000000" w:themeColor="text1"/>
          <w:lang w:val="en-GB"/>
        </w:rPr>
      </w:pPr>
    </w:p>
    <w:p w:rsidR="00711F6E" w:rsidRPr="00B62920" w:rsidRDefault="00711F6E" w:rsidP="00711F6E">
      <w:pPr>
        <w:pStyle w:val="Default"/>
        <w:jc w:val="both"/>
        <w:rPr>
          <w:color w:val="000000" w:themeColor="text1"/>
          <w:lang w:val="en-GB"/>
        </w:rPr>
      </w:pPr>
    </w:p>
    <w:p w:rsidR="00711F6E" w:rsidRPr="00B62920" w:rsidRDefault="00711F6E" w:rsidP="00711F6E">
      <w:pPr>
        <w:numPr>
          <w:ilvl w:val="0"/>
          <w:numId w:val="1"/>
        </w:numPr>
        <w:suppressAutoHyphens/>
        <w:autoSpaceDE w:val="0"/>
        <w:ind w:left="360" w:hanging="360"/>
        <w:jc w:val="both"/>
        <w:rPr>
          <w:color w:val="000000" w:themeColor="text1"/>
          <w:lang w:val="en-GB"/>
        </w:rPr>
      </w:pPr>
      <w:r w:rsidRPr="00B62920">
        <w:rPr>
          <w:b/>
          <w:color w:val="000000" w:themeColor="text1"/>
          <w:lang w:val="en-GB"/>
        </w:rPr>
        <w:t xml:space="preserve">CONCLUDING </w:t>
      </w:r>
      <w:r w:rsidRPr="00B62920">
        <w:rPr>
          <w:b/>
          <w:bCs/>
          <w:color w:val="000000" w:themeColor="text1"/>
          <w:lang w:val="en-GB"/>
        </w:rPr>
        <w:t>COMMENTS</w:t>
      </w:r>
      <w:r w:rsidRPr="00B62920">
        <w:rPr>
          <w:b/>
          <w:color w:val="000000" w:themeColor="text1"/>
          <w:lang w:val="en-GB"/>
        </w:rPr>
        <w:t xml:space="preserve"> AND RECOMMENDATIONS</w:t>
      </w:r>
    </w:p>
    <w:p w:rsidR="00711F6E" w:rsidRPr="00B62920" w:rsidRDefault="00711F6E" w:rsidP="00711F6E">
      <w:pPr>
        <w:pStyle w:val="ListParagraph"/>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b/>
          <w:bCs/>
          <w:color w:val="000000" w:themeColor="text1"/>
          <w:lang w:val="en-GB"/>
        </w:rPr>
      </w:pPr>
      <w:r w:rsidRPr="00B62920">
        <w:rPr>
          <w:color w:val="000000" w:themeColor="text1"/>
          <w:lang w:val="en-GB"/>
        </w:rPr>
        <w:t>In light of the Panel’s findings in this case, the Panel is of the opinion that some form of reparation is necessary.</w:t>
      </w:r>
    </w:p>
    <w:p w:rsidR="00711F6E" w:rsidRPr="00B62920" w:rsidRDefault="00711F6E" w:rsidP="00711F6E">
      <w:pPr>
        <w:pStyle w:val="ListParagraph"/>
        <w:tabs>
          <w:tab w:val="num" w:pos="450"/>
        </w:tabs>
        <w:ind w:left="450" w:hanging="450"/>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b/>
          <w:bCs/>
          <w:color w:val="000000" w:themeColor="text1"/>
          <w:lang w:val="en-GB"/>
        </w:rPr>
      </w:pPr>
      <w:r w:rsidRPr="00B62920">
        <w:rPr>
          <w:color w:val="000000" w:themeColor="text1"/>
          <w:lang w:val="en-GB"/>
        </w:rPr>
        <w:t>The Panel notes that enforced disappearances constitute serious violations of human rights which shall be investigated and prosecuted under any circumstances. The Panel also notes that UNMIK as the territorial administration of Kosovo from 1999 to 2008 had the primary responsibility to effectively investigate the</w:t>
      </w:r>
      <w:r w:rsidR="006E0599" w:rsidRPr="00B62920">
        <w:rPr>
          <w:color w:val="000000" w:themeColor="text1"/>
          <w:lang w:val="en-GB"/>
        </w:rPr>
        <w:t xml:space="preserve"> </w:t>
      </w:r>
      <w:r w:rsidR="001F0511" w:rsidRPr="00B62920">
        <w:rPr>
          <w:lang w:val="en-GB"/>
        </w:rPr>
        <w:t>disappearance</w:t>
      </w:r>
      <w:r w:rsidR="00AD7F08" w:rsidRPr="00B62920">
        <w:rPr>
          <w:lang w:val="en-GB"/>
        </w:rPr>
        <w:t xml:space="preserve"> of </w:t>
      </w:r>
      <w:r w:rsidR="007C59FC" w:rsidRPr="00B62920">
        <w:t xml:space="preserve">Mr Duško </w:t>
      </w:r>
      <w:r w:rsidR="007C59FC" w:rsidRPr="00B62920">
        <w:rPr>
          <w:lang w:val="en-GB"/>
        </w:rPr>
        <w:t>Karanović</w:t>
      </w:r>
      <w:r w:rsidRPr="00B62920">
        <w:rPr>
          <w:color w:val="000000" w:themeColor="text1"/>
          <w:lang w:val="en-GB"/>
        </w:rPr>
        <w:t>, and that its failure to do so constitutes a further serious violat</w:t>
      </w:r>
      <w:r w:rsidR="000D2756" w:rsidRPr="00B62920">
        <w:rPr>
          <w:color w:val="000000" w:themeColor="text1"/>
          <w:lang w:val="en-GB"/>
        </w:rPr>
        <w:t xml:space="preserve">ion of </w:t>
      </w:r>
      <w:r w:rsidR="00874A40" w:rsidRPr="00B62920">
        <w:rPr>
          <w:color w:val="000000" w:themeColor="text1"/>
          <w:lang w:val="en-GB"/>
        </w:rPr>
        <w:t xml:space="preserve">the rights of the victim and </w:t>
      </w:r>
      <w:r w:rsidR="00F36080">
        <w:rPr>
          <w:color w:val="000000" w:themeColor="text1"/>
          <w:lang w:val="en-GB"/>
        </w:rPr>
        <w:t xml:space="preserve">his </w:t>
      </w:r>
      <w:r w:rsidRPr="00B62920">
        <w:rPr>
          <w:color w:val="000000" w:themeColor="text1"/>
          <w:lang w:val="en-GB"/>
        </w:rPr>
        <w:t xml:space="preserve">next-of-kin, in particular the right to have the truth of the matter determined. </w:t>
      </w:r>
    </w:p>
    <w:p w:rsidR="00711F6E" w:rsidRPr="00B62920" w:rsidRDefault="00711F6E" w:rsidP="00711F6E">
      <w:pPr>
        <w:pStyle w:val="ListParagraph"/>
        <w:tabs>
          <w:tab w:val="num" w:pos="450"/>
        </w:tabs>
        <w:ind w:left="450" w:hanging="450"/>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bCs/>
          <w:color w:val="000000" w:themeColor="text1"/>
          <w:lang w:val="en-GB"/>
        </w:rPr>
      </w:pPr>
      <w:r w:rsidRPr="00B62920">
        <w:rPr>
          <w:bCs/>
          <w:color w:val="000000" w:themeColor="text1"/>
          <w:lang w:val="en-GB"/>
        </w:rPr>
        <w:t xml:space="preserve">The </w:t>
      </w:r>
      <w:r w:rsidRPr="00B62920">
        <w:rPr>
          <w:color w:val="000000" w:themeColor="text1"/>
          <w:lang w:val="en-GB"/>
        </w:rPr>
        <w:t>Panel</w:t>
      </w:r>
      <w:r w:rsidRPr="00B62920">
        <w:rPr>
          <w:bCs/>
          <w:color w:val="000000" w:themeColor="text1"/>
          <w:lang w:val="en-GB"/>
        </w:rPr>
        <w:t xml:space="preserve"> </w:t>
      </w:r>
      <w:r w:rsidRPr="00B62920">
        <w:rPr>
          <w:color w:val="000000" w:themeColor="text1"/>
          <w:lang w:val="en-GB"/>
        </w:rPr>
        <w:t>notes</w:t>
      </w:r>
      <w:r w:rsidRPr="00B62920">
        <w:rPr>
          <w:bCs/>
          <w:color w:val="000000" w:themeColor="text1"/>
          <w:lang w:val="en-GB"/>
        </w:rPr>
        <w:t xml:space="preserve"> the SRSG’s own concerns that the inadequate resources, especially at the outset of </w:t>
      </w:r>
      <w:r w:rsidRPr="00B62920">
        <w:rPr>
          <w:color w:val="000000" w:themeColor="text1"/>
          <w:lang w:val="en-GB"/>
        </w:rPr>
        <w:t>UNMIK’s</w:t>
      </w:r>
      <w:r w:rsidRPr="00B62920">
        <w:rPr>
          <w:bCs/>
          <w:color w:val="000000" w:themeColor="text1"/>
          <w:lang w:val="en-GB"/>
        </w:rPr>
        <w:t xml:space="preserve"> mission, made compliance with UNMIK’s human rights obligations difficult to achieve.</w:t>
      </w:r>
    </w:p>
    <w:p w:rsidR="00711F6E" w:rsidRPr="00B62920" w:rsidRDefault="00711F6E" w:rsidP="00711F6E">
      <w:pPr>
        <w:pStyle w:val="ListParagraph"/>
        <w:tabs>
          <w:tab w:val="num" w:pos="450"/>
        </w:tabs>
        <w:ind w:left="450" w:hanging="450"/>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color w:val="000000" w:themeColor="text1"/>
          <w:lang w:val="en-GB"/>
        </w:rPr>
      </w:pPr>
      <w:r w:rsidRPr="00B62920">
        <w:rPr>
          <w:color w:val="000000" w:themeColor="text1"/>
          <w:lang w:val="en-GB"/>
        </w:rPr>
        <w:t xml:space="preserve">It </w:t>
      </w:r>
      <w:r w:rsidRPr="00B62920">
        <w:rPr>
          <w:bCs/>
          <w:color w:val="000000" w:themeColor="text1"/>
          <w:lang w:val="en-GB"/>
        </w:rPr>
        <w:t>would</w:t>
      </w:r>
      <w:r w:rsidRPr="00B62920">
        <w:rPr>
          <w:color w:val="000000" w:themeColor="text1"/>
          <w:lang w:val="en-GB"/>
        </w:rPr>
        <w:t xml:space="preserve"> normally be for UNMIK to take the appropriate measures in order to put an end to the violation noted and to redress as far as possible the effects thereof. However, as the Panel noted above (see § </w:t>
      </w:r>
      <w:r w:rsidR="000D2756" w:rsidRPr="00B62920">
        <w:fldChar w:fldCharType="begin"/>
      </w:r>
      <w:r w:rsidR="000D2756" w:rsidRPr="00B62920">
        <w:rPr>
          <w:color w:val="000000" w:themeColor="text1"/>
          <w:lang w:val="en-GB"/>
        </w:rPr>
        <w:instrText xml:space="preserve"> REF _Ref346123927 \r \h </w:instrText>
      </w:r>
      <w:r w:rsidR="000D2756" w:rsidRPr="00B62920">
        <w:instrText xml:space="preserve"> \* MERGEFORMAT </w:instrText>
      </w:r>
      <w:r w:rsidR="000D2756" w:rsidRPr="00B62920">
        <w:fldChar w:fldCharType="separate"/>
      </w:r>
      <w:r w:rsidR="00B52E51">
        <w:rPr>
          <w:color w:val="000000" w:themeColor="text1"/>
          <w:lang w:val="en-GB"/>
        </w:rPr>
        <w:t>18</w:t>
      </w:r>
      <w:r w:rsidR="000D2756" w:rsidRPr="00B62920">
        <w:fldChar w:fldCharType="end"/>
      </w:r>
      <w:r w:rsidRPr="00B62920">
        <w:rPr>
          <w:color w:val="000000" w:themeColor="text1"/>
          <w:lang w:val="en-GB"/>
        </w:rPr>
        <w:t xml:space="preserve"> above), UNMIK’s responsibility with regard to the administration of justice in Kosovo ended on 9 December 2008. UNMIK therefore is no longer in a position to take measures that will have a direct impact on the investigations that are still pending before EULEX or local authorities. Likewise, following the unilateral declaration of independence by the Kosovo Provisional Institutions of Self-Government on 17 February 2008 and subsequently, the entry into force of the Kosovo Constitution on 15 June 2008, UNMIK ceased to perform executive functions in Kosovo, this fact limiting its ability to provide full and effective reparation of the violation committed, as required by established principles of international </w:t>
      </w:r>
      <w:r w:rsidRPr="00B62920">
        <w:rPr>
          <w:bCs/>
          <w:color w:val="000000" w:themeColor="text1"/>
          <w:lang w:val="en-GB"/>
        </w:rPr>
        <w:t>human</w:t>
      </w:r>
      <w:r w:rsidRPr="00B62920">
        <w:rPr>
          <w:color w:val="000000" w:themeColor="text1"/>
          <w:lang w:val="en-GB"/>
        </w:rPr>
        <w:t xml:space="preserve"> rights law.  </w:t>
      </w:r>
    </w:p>
    <w:p w:rsidR="00711F6E" w:rsidRPr="00B62920" w:rsidRDefault="00711F6E" w:rsidP="00711F6E">
      <w:pPr>
        <w:pStyle w:val="ListParagraph"/>
        <w:rPr>
          <w:color w:val="000000" w:themeColor="text1"/>
          <w:lang w:val="en-GB"/>
        </w:rPr>
      </w:pPr>
    </w:p>
    <w:p w:rsidR="00711F6E" w:rsidRPr="00B62920" w:rsidRDefault="00711F6E" w:rsidP="00B43D05">
      <w:pPr>
        <w:pStyle w:val="ListParagraph"/>
        <w:numPr>
          <w:ilvl w:val="0"/>
          <w:numId w:val="2"/>
        </w:numPr>
        <w:tabs>
          <w:tab w:val="clear" w:pos="360"/>
          <w:tab w:val="num" w:pos="450"/>
        </w:tabs>
        <w:autoSpaceDE w:val="0"/>
        <w:ind w:left="450" w:hanging="450"/>
        <w:jc w:val="both"/>
        <w:rPr>
          <w:b/>
          <w:bCs/>
          <w:color w:val="000000" w:themeColor="text1"/>
          <w:lang w:val="en-GB"/>
        </w:rPr>
      </w:pPr>
      <w:r w:rsidRPr="00B62920">
        <w:rPr>
          <w:color w:val="000000" w:themeColor="text1"/>
          <w:lang w:val="en-GB"/>
        </w:rPr>
        <w:t xml:space="preserve">The Panel considers that this </w:t>
      </w:r>
      <w:r w:rsidRPr="00B62920">
        <w:rPr>
          <w:bCs/>
          <w:color w:val="000000" w:themeColor="text1"/>
          <w:lang w:val="en-GB"/>
        </w:rPr>
        <w:t>factual</w:t>
      </w:r>
      <w:r w:rsidRPr="00B62920">
        <w:rPr>
          <w:color w:val="000000" w:themeColor="text1"/>
          <w:lang w:val="en-GB"/>
        </w:rPr>
        <w:t xml:space="preserve"> situation does not relieve UNMIK from its obligation to redress as far as possible the effects of the violations for which it is responsible. </w:t>
      </w:r>
    </w:p>
    <w:p w:rsidR="00711F6E" w:rsidRPr="00B62920" w:rsidRDefault="00711F6E" w:rsidP="00711F6E">
      <w:pPr>
        <w:pStyle w:val="ListParagraph"/>
        <w:rPr>
          <w:b/>
          <w:bCs/>
          <w:color w:val="000000" w:themeColor="text1"/>
          <w:lang w:val="en-GB"/>
        </w:rPr>
      </w:pPr>
    </w:p>
    <w:p w:rsidR="00711F6E" w:rsidRPr="00B62920" w:rsidRDefault="00711F6E" w:rsidP="00711F6E">
      <w:pPr>
        <w:suppressAutoHyphens/>
        <w:autoSpaceDE w:val="0"/>
        <w:ind w:left="450"/>
        <w:jc w:val="both"/>
        <w:rPr>
          <w:b/>
          <w:bCs/>
          <w:color w:val="000000" w:themeColor="text1"/>
          <w:lang w:val="en-GB"/>
        </w:rPr>
      </w:pPr>
      <w:r w:rsidRPr="00B62920">
        <w:rPr>
          <w:b/>
          <w:bCs/>
          <w:color w:val="000000" w:themeColor="text1"/>
          <w:lang w:val="en-GB"/>
        </w:rPr>
        <w:t>With respect to the complainant and the case the Panel considers appropriate that UNMIK:</w:t>
      </w:r>
    </w:p>
    <w:p w:rsidR="00711F6E" w:rsidRPr="00B62920" w:rsidRDefault="00711F6E" w:rsidP="00711F6E">
      <w:pPr>
        <w:pStyle w:val="ListParagraph"/>
        <w:rPr>
          <w:b/>
          <w:bCs/>
          <w:color w:val="000000" w:themeColor="text1"/>
          <w:lang w:val="en-GB"/>
        </w:rPr>
      </w:pPr>
    </w:p>
    <w:p w:rsidR="00711F6E" w:rsidRPr="00B62920" w:rsidRDefault="00711F6E" w:rsidP="00E114D9">
      <w:pPr>
        <w:numPr>
          <w:ilvl w:val="2"/>
          <w:numId w:val="2"/>
        </w:numPr>
        <w:tabs>
          <w:tab w:val="left" w:pos="900"/>
        </w:tabs>
        <w:suppressAutoHyphens/>
        <w:autoSpaceDE w:val="0"/>
        <w:ind w:left="720" w:firstLine="0"/>
        <w:jc w:val="both"/>
        <w:rPr>
          <w:b/>
          <w:bCs/>
          <w:color w:val="000000" w:themeColor="text1"/>
          <w:lang w:val="en-GB"/>
        </w:rPr>
      </w:pPr>
      <w:r w:rsidRPr="00B62920">
        <w:rPr>
          <w:color w:val="000000" w:themeColor="text1"/>
          <w:lang w:val="en-GB"/>
        </w:rPr>
        <w:t xml:space="preserve">In line with the case law of the European Court of Human Rights on situations of limited State </w:t>
      </w:r>
      <w:r w:rsidRPr="00B62920">
        <w:rPr>
          <w:lang w:val="en-GB"/>
        </w:rPr>
        <w:t>jurisdiction</w:t>
      </w:r>
      <w:r w:rsidRPr="00B62920">
        <w:rPr>
          <w:color w:val="000000" w:themeColor="text1"/>
          <w:lang w:val="en-GB"/>
        </w:rPr>
        <w:t xml:space="preserve"> (see ECtHR [GC], </w:t>
      </w:r>
      <w:r w:rsidRPr="00B62920">
        <w:rPr>
          <w:i/>
          <w:color w:val="000000" w:themeColor="text1"/>
          <w:lang w:val="en-GB"/>
        </w:rPr>
        <w:t>Ilaşcu and Others v. Moldova and Russia</w:t>
      </w:r>
      <w:r w:rsidRPr="00B62920">
        <w:rPr>
          <w:color w:val="000000" w:themeColor="text1"/>
          <w:lang w:val="en-GB"/>
        </w:rPr>
        <w:t xml:space="preserve">, cited in § </w:t>
      </w:r>
      <w:r w:rsidRPr="00B62920">
        <w:fldChar w:fldCharType="begin"/>
      </w:r>
      <w:r w:rsidRPr="00B62920">
        <w:instrText xml:space="preserve"> REF _Ref401074681 \r \h  \* MERGEFORMAT </w:instrText>
      </w:r>
      <w:r w:rsidRPr="00B62920">
        <w:fldChar w:fldCharType="separate"/>
      </w:r>
      <w:r w:rsidR="00B52E51" w:rsidRPr="00B52E51">
        <w:rPr>
          <w:color w:val="000000" w:themeColor="text1"/>
          <w:lang w:val="en-GB"/>
        </w:rPr>
        <w:t>125</w:t>
      </w:r>
      <w:r w:rsidRPr="00B62920">
        <w:fldChar w:fldCharType="end"/>
      </w:r>
      <w:r w:rsidRPr="00B62920">
        <w:rPr>
          <w:color w:val="000000" w:themeColor="text1"/>
          <w:lang w:val="en-GB"/>
        </w:rPr>
        <w:t xml:space="preserve"> above, at § 333; ECtHR, </w:t>
      </w:r>
      <w:r w:rsidRPr="00B62920">
        <w:rPr>
          <w:i/>
          <w:color w:val="000000" w:themeColor="text1"/>
          <w:lang w:val="en-GB"/>
        </w:rPr>
        <w:t>Al-Saadoon and Mufdhi v. United Kingdom</w:t>
      </w:r>
      <w:r w:rsidRPr="00B62920">
        <w:rPr>
          <w:color w:val="000000" w:themeColor="text1"/>
          <w:lang w:val="en-GB"/>
        </w:rPr>
        <w:t xml:space="preserve">, no. 61498/08, judgment of 2 March 2010, § 171; ECtHR [GC], </w:t>
      </w:r>
      <w:r w:rsidRPr="00B62920">
        <w:rPr>
          <w:i/>
          <w:color w:val="000000" w:themeColor="text1"/>
          <w:lang w:val="en-GB"/>
        </w:rPr>
        <w:t>Catan and Others v. Moldova and Russia</w:t>
      </w:r>
      <w:r w:rsidRPr="00B62920">
        <w:rPr>
          <w:color w:val="000000" w:themeColor="text1"/>
          <w:lang w:val="en-GB"/>
        </w:rPr>
        <w:t xml:space="preserve">, nos. 43370/04, 8252/05 and 18454/06, judgment of 19 October 2012, § 109), must endeavour, with all the means available to it </w:t>
      </w:r>
      <w:r w:rsidRPr="00B62920">
        <w:rPr>
          <w:i/>
          <w:color w:val="000000" w:themeColor="text1"/>
          <w:lang w:val="en-GB"/>
        </w:rPr>
        <w:t>vis-à-vis</w:t>
      </w:r>
      <w:r w:rsidRPr="00B62920">
        <w:rPr>
          <w:color w:val="000000" w:themeColor="text1"/>
          <w:lang w:val="en-GB"/>
        </w:rPr>
        <w:t xml:space="preserve"> competent authorities in Kosovo, to obtain assurances that the investigations concerning the case at issue will be continued in compliance with the requirements of an effective investigation as envisaged by Article 2, that the circumstances surrounding </w:t>
      </w:r>
      <w:r w:rsidRPr="00B62920">
        <w:rPr>
          <w:bCs/>
          <w:color w:val="000000" w:themeColor="text1"/>
          <w:lang w:val="en-GB"/>
        </w:rPr>
        <w:t>the</w:t>
      </w:r>
      <w:r w:rsidR="00874A40" w:rsidRPr="00B62920">
        <w:rPr>
          <w:bCs/>
          <w:color w:val="000000" w:themeColor="text1"/>
          <w:lang w:val="en-GB"/>
        </w:rPr>
        <w:t xml:space="preserve"> </w:t>
      </w:r>
      <w:r w:rsidR="001F0511" w:rsidRPr="00B62920">
        <w:rPr>
          <w:lang w:val="en-GB"/>
        </w:rPr>
        <w:t>disappearance</w:t>
      </w:r>
      <w:r w:rsidR="00AD7F08" w:rsidRPr="00B62920">
        <w:rPr>
          <w:lang w:val="en-GB"/>
        </w:rPr>
        <w:t xml:space="preserve"> of </w:t>
      </w:r>
      <w:r w:rsidR="007C59FC" w:rsidRPr="00B62920">
        <w:t xml:space="preserve">Mr Duško </w:t>
      </w:r>
      <w:r w:rsidR="007C59FC" w:rsidRPr="00B62920">
        <w:rPr>
          <w:lang w:val="en-GB"/>
        </w:rPr>
        <w:t>Karanović</w:t>
      </w:r>
      <w:r w:rsidR="007C59FC" w:rsidRPr="00B62920">
        <w:rPr>
          <w:color w:val="000000" w:themeColor="text1"/>
          <w:lang w:val="en-GB"/>
        </w:rPr>
        <w:t xml:space="preserve"> </w:t>
      </w:r>
      <w:r w:rsidRPr="00B62920">
        <w:rPr>
          <w:color w:val="000000" w:themeColor="text1"/>
          <w:lang w:val="en-GB"/>
        </w:rPr>
        <w:t>will be established and that the possible perpetrators will be brought to justice. The complainant and/or other next-of-kin shall be informed of such proceedings and relevant documents shall be disclosed to them, as necessary;</w:t>
      </w:r>
    </w:p>
    <w:p w:rsidR="00711F6E" w:rsidRPr="00B62920" w:rsidRDefault="00711F6E" w:rsidP="00711F6E">
      <w:pPr>
        <w:suppressAutoHyphens/>
        <w:autoSpaceDE w:val="0"/>
        <w:ind w:left="426"/>
        <w:jc w:val="both"/>
        <w:rPr>
          <w:b/>
          <w:bCs/>
          <w:color w:val="000000" w:themeColor="text1"/>
          <w:lang w:val="en-GB"/>
        </w:rPr>
      </w:pPr>
    </w:p>
    <w:p w:rsidR="00711F6E" w:rsidRPr="00B62920" w:rsidRDefault="00711F6E" w:rsidP="00E114D9">
      <w:pPr>
        <w:numPr>
          <w:ilvl w:val="2"/>
          <w:numId w:val="2"/>
        </w:numPr>
        <w:tabs>
          <w:tab w:val="left" w:pos="900"/>
        </w:tabs>
        <w:suppressAutoHyphens/>
        <w:autoSpaceDE w:val="0"/>
        <w:ind w:left="720" w:firstLine="0"/>
        <w:jc w:val="both"/>
        <w:rPr>
          <w:bCs/>
          <w:color w:val="000000" w:themeColor="text1"/>
          <w:lang w:val="en-GB"/>
        </w:rPr>
      </w:pPr>
      <w:r w:rsidRPr="00B62920">
        <w:rPr>
          <w:bCs/>
          <w:color w:val="000000" w:themeColor="text1"/>
          <w:lang w:val="en-GB"/>
        </w:rPr>
        <w:lastRenderedPageBreak/>
        <w:t xml:space="preserve">Publicly </w:t>
      </w:r>
      <w:r w:rsidRPr="00B62920">
        <w:rPr>
          <w:color w:val="000000" w:themeColor="text1"/>
          <w:lang w:val="en-GB"/>
        </w:rPr>
        <w:t>acknowledges</w:t>
      </w:r>
      <w:r w:rsidRPr="00B62920">
        <w:rPr>
          <w:bCs/>
          <w:color w:val="000000" w:themeColor="text1"/>
          <w:lang w:val="en-GB"/>
        </w:rPr>
        <w:t>, including through media</w:t>
      </w:r>
      <w:r w:rsidR="00874A40" w:rsidRPr="00B62920">
        <w:rPr>
          <w:bCs/>
          <w:color w:val="000000" w:themeColor="text1"/>
          <w:lang w:val="en-GB"/>
        </w:rPr>
        <w:t>,</w:t>
      </w:r>
      <w:r w:rsidRPr="00B62920">
        <w:rPr>
          <w:color w:val="000000" w:themeColor="text1"/>
          <w:lang w:val="en-GB"/>
        </w:rPr>
        <w:t xml:space="preserve"> within</w:t>
      </w:r>
      <w:r w:rsidRPr="00B62920">
        <w:rPr>
          <w:bCs/>
          <w:color w:val="000000" w:themeColor="text1"/>
          <w:lang w:val="en-GB"/>
        </w:rPr>
        <w:t xml:space="preserve"> a reasonable time, responsibility with respect to UNMIK’s </w:t>
      </w:r>
      <w:r w:rsidRPr="00B62920">
        <w:rPr>
          <w:color w:val="000000" w:themeColor="text1"/>
          <w:lang w:val="en-GB"/>
        </w:rPr>
        <w:t>failure</w:t>
      </w:r>
      <w:r w:rsidRPr="00B62920">
        <w:rPr>
          <w:bCs/>
          <w:color w:val="000000" w:themeColor="text1"/>
          <w:lang w:val="en-GB"/>
        </w:rPr>
        <w:t xml:space="preserve"> to adequately investigate the</w:t>
      </w:r>
      <w:r w:rsidR="00874A40" w:rsidRPr="00B62920">
        <w:rPr>
          <w:bCs/>
          <w:color w:val="000000" w:themeColor="text1"/>
          <w:lang w:val="en-GB"/>
        </w:rPr>
        <w:t xml:space="preserve"> </w:t>
      </w:r>
      <w:r w:rsidR="001F0511" w:rsidRPr="00B62920">
        <w:rPr>
          <w:lang w:val="en-GB"/>
        </w:rPr>
        <w:t>disappearance</w:t>
      </w:r>
      <w:r w:rsidR="00AD7F08" w:rsidRPr="00B62920">
        <w:rPr>
          <w:lang w:val="en-GB"/>
        </w:rPr>
        <w:t xml:space="preserve"> of </w:t>
      </w:r>
      <w:r w:rsidR="000E11DC" w:rsidRPr="00B62920">
        <w:t xml:space="preserve">Mr Duško </w:t>
      </w:r>
      <w:r w:rsidR="000E11DC" w:rsidRPr="00B62920">
        <w:rPr>
          <w:lang w:val="en-GB"/>
        </w:rPr>
        <w:t>Karanović</w:t>
      </w:r>
      <w:r w:rsidRPr="00B62920">
        <w:rPr>
          <w:color w:val="000000" w:themeColor="text1"/>
          <w:lang w:val="en-GB"/>
        </w:rPr>
        <w:t xml:space="preserve">, </w:t>
      </w:r>
      <w:r w:rsidRPr="00B62920">
        <w:rPr>
          <w:bCs/>
          <w:color w:val="000000" w:themeColor="text1"/>
          <w:lang w:val="en-GB"/>
        </w:rPr>
        <w:t xml:space="preserve">as </w:t>
      </w:r>
      <w:r w:rsidRPr="00B62920">
        <w:rPr>
          <w:color w:val="000000" w:themeColor="text1"/>
          <w:lang w:val="en-GB"/>
        </w:rPr>
        <w:t>well</w:t>
      </w:r>
      <w:r w:rsidRPr="00B62920">
        <w:rPr>
          <w:bCs/>
          <w:color w:val="000000" w:themeColor="text1"/>
          <w:lang w:val="en-GB"/>
        </w:rPr>
        <w:t xml:space="preserve"> as the distress and mental suffering subsequently incurred</w:t>
      </w:r>
      <w:r w:rsidR="00DD33CB" w:rsidRPr="00B62920">
        <w:rPr>
          <w:bCs/>
          <w:color w:val="000000" w:themeColor="text1"/>
          <w:lang w:val="en-GB"/>
        </w:rPr>
        <w:t xml:space="preserve"> by the complainant</w:t>
      </w:r>
      <w:r w:rsidRPr="00B62920">
        <w:rPr>
          <w:bCs/>
          <w:color w:val="000000" w:themeColor="text1"/>
          <w:lang w:val="en-GB"/>
        </w:rPr>
        <w:t>, and makes a public ap</w:t>
      </w:r>
      <w:r w:rsidR="00874A40" w:rsidRPr="00B62920">
        <w:rPr>
          <w:bCs/>
          <w:color w:val="000000" w:themeColor="text1"/>
          <w:lang w:val="en-GB"/>
        </w:rPr>
        <w:t xml:space="preserve">ology to </w:t>
      </w:r>
      <w:r w:rsidR="007C59FC" w:rsidRPr="00B62920">
        <w:rPr>
          <w:bCs/>
          <w:color w:val="000000" w:themeColor="text1"/>
          <w:lang w:val="en-GB"/>
        </w:rPr>
        <w:t>her</w:t>
      </w:r>
      <w:r w:rsidR="00874A40" w:rsidRPr="00B62920">
        <w:rPr>
          <w:bCs/>
          <w:color w:val="000000" w:themeColor="text1"/>
          <w:lang w:val="en-GB"/>
        </w:rPr>
        <w:t xml:space="preserve"> and </w:t>
      </w:r>
      <w:r w:rsidR="007C59FC" w:rsidRPr="00B62920">
        <w:rPr>
          <w:bCs/>
          <w:color w:val="000000" w:themeColor="text1"/>
          <w:lang w:val="en-GB"/>
        </w:rPr>
        <w:t>her</w:t>
      </w:r>
      <w:r w:rsidRPr="00B62920">
        <w:rPr>
          <w:bCs/>
          <w:color w:val="000000" w:themeColor="text1"/>
          <w:lang w:val="en-GB"/>
        </w:rPr>
        <w:t xml:space="preserve"> family in this regard;</w:t>
      </w:r>
    </w:p>
    <w:p w:rsidR="00711F6E" w:rsidRPr="00B62920" w:rsidRDefault="00711F6E" w:rsidP="00711F6E">
      <w:pPr>
        <w:tabs>
          <w:tab w:val="left" w:pos="900"/>
        </w:tabs>
        <w:suppressAutoHyphens/>
        <w:autoSpaceDE w:val="0"/>
        <w:ind w:left="720"/>
        <w:jc w:val="both"/>
        <w:rPr>
          <w:color w:val="000000" w:themeColor="text1"/>
          <w:lang w:val="en-GB"/>
        </w:rPr>
      </w:pPr>
    </w:p>
    <w:p w:rsidR="00711F6E" w:rsidRPr="00B62920" w:rsidRDefault="00711F6E" w:rsidP="00E114D9">
      <w:pPr>
        <w:numPr>
          <w:ilvl w:val="2"/>
          <w:numId w:val="2"/>
        </w:numPr>
        <w:tabs>
          <w:tab w:val="left" w:pos="900"/>
        </w:tabs>
        <w:suppressAutoHyphens/>
        <w:autoSpaceDE w:val="0"/>
        <w:ind w:left="720" w:firstLine="0"/>
        <w:jc w:val="both"/>
        <w:rPr>
          <w:color w:val="000000" w:themeColor="text1"/>
          <w:lang w:val="en-GB"/>
        </w:rPr>
      </w:pPr>
      <w:r w:rsidRPr="00B62920">
        <w:rPr>
          <w:color w:val="000000" w:themeColor="text1"/>
          <w:lang w:val="en-GB"/>
        </w:rPr>
        <w:t xml:space="preserve">Takes appropriate steps towards payment of adequate compensation to the complainant for the </w:t>
      </w:r>
      <w:r w:rsidRPr="00B62920">
        <w:rPr>
          <w:bCs/>
          <w:color w:val="000000" w:themeColor="text1"/>
          <w:lang w:val="en-GB"/>
        </w:rPr>
        <w:t>moral</w:t>
      </w:r>
      <w:r w:rsidRPr="00B62920">
        <w:rPr>
          <w:color w:val="000000" w:themeColor="text1"/>
          <w:lang w:val="en-GB"/>
        </w:rPr>
        <w:t xml:space="preserve"> </w:t>
      </w:r>
      <w:r w:rsidRPr="00B62920">
        <w:rPr>
          <w:bCs/>
          <w:color w:val="000000" w:themeColor="text1"/>
          <w:lang w:val="en-GB"/>
        </w:rPr>
        <w:t>damage</w:t>
      </w:r>
      <w:r w:rsidRPr="00B62920">
        <w:rPr>
          <w:color w:val="000000" w:themeColor="text1"/>
          <w:lang w:val="en-GB"/>
        </w:rPr>
        <w:t xml:space="preserve"> suffered due to UNMIK’s failure to conduct an effective investigation as well as for distress and </w:t>
      </w:r>
      <w:r w:rsidRPr="00B62920">
        <w:rPr>
          <w:bCs/>
          <w:color w:val="000000" w:themeColor="text1"/>
          <w:lang w:val="en-GB"/>
        </w:rPr>
        <w:t xml:space="preserve">mental suffering </w:t>
      </w:r>
      <w:r w:rsidRPr="00B62920">
        <w:rPr>
          <w:color w:val="000000" w:themeColor="text1"/>
          <w:lang w:val="en-GB"/>
        </w:rPr>
        <w:t>incurred by h</w:t>
      </w:r>
      <w:r w:rsidR="007C59FC" w:rsidRPr="00B62920">
        <w:rPr>
          <w:color w:val="000000" w:themeColor="text1"/>
          <w:lang w:val="en-GB"/>
        </w:rPr>
        <w:t>er</w:t>
      </w:r>
      <w:r w:rsidRPr="00B62920">
        <w:rPr>
          <w:color w:val="000000" w:themeColor="text1"/>
          <w:lang w:val="en-GB"/>
        </w:rPr>
        <w:t xml:space="preserve"> as a consequence of UNMIK’s behaviour.</w:t>
      </w:r>
    </w:p>
    <w:p w:rsidR="00453993" w:rsidRPr="00B62920" w:rsidRDefault="00453993" w:rsidP="00874A40">
      <w:pPr>
        <w:suppressAutoHyphens/>
        <w:autoSpaceDE w:val="0"/>
        <w:jc w:val="both"/>
        <w:rPr>
          <w:b/>
          <w:bCs/>
          <w:color w:val="000000" w:themeColor="text1"/>
          <w:lang w:val="en-GB"/>
        </w:rPr>
      </w:pPr>
    </w:p>
    <w:p w:rsidR="00711F6E" w:rsidRPr="00B62920" w:rsidRDefault="00711F6E" w:rsidP="00711F6E">
      <w:pPr>
        <w:suppressAutoHyphens/>
        <w:autoSpaceDE w:val="0"/>
        <w:ind w:left="450"/>
        <w:jc w:val="both"/>
        <w:rPr>
          <w:b/>
          <w:bCs/>
          <w:color w:val="000000" w:themeColor="text1"/>
          <w:lang w:val="en-GB"/>
        </w:rPr>
      </w:pPr>
      <w:r w:rsidRPr="00B62920">
        <w:rPr>
          <w:b/>
          <w:bCs/>
          <w:color w:val="000000" w:themeColor="text1"/>
          <w:lang w:val="en-GB"/>
        </w:rPr>
        <w:t>The Panel also considers appropriate that UNMIK:</w:t>
      </w:r>
    </w:p>
    <w:p w:rsidR="00711F6E" w:rsidRPr="00B62920" w:rsidRDefault="00711F6E" w:rsidP="00711F6E">
      <w:pPr>
        <w:rPr>
          <w:color w:val="000000" w:themeColor="text1"/>
          <w:lang w:val="en-GB"/>
        </w:rPr>
      </w:pPr>
    </w:p>
    <w:p w:rsidR="00711F6E" w:rsidRPr="00B62920" w:rsidRDefault="00711F6E" w:rsidP="00E114D9">
      <w:pPr>
        <w:numPr>
          <w:ilvl w:val="2"/>
          <w:numId w:val="2"/>
        </w:numPr>
        <w:tabs>
          <w:tab w:val="left" w:pos="900"/>
        </w:tabs>
        <w:suppressAutoHyphens/>
        <w:autoSpaceDE w:val="0"/>
        <w:ind w:left="720" w:firstLine="0"/>
        <w:jc w:val="both"/>
        <w:rPr>
          <w:color w:val="000000" w:themeColor="text1"/>
          <w:lang w:val="en-GB"/>
        </w:rPr>
      </w:pPr>
      <w:r w:rsidRPr="00B62920">
        <w:rPr>
          <w:bCs/>
          <w:color w:val="000000" w:themeColor="text1"/>
          <w:lang w:val="en-GB"/>
        </w:rPr>
        <w:t xml:space="preserve">In line </w:t>
      </w:r>
      <w:r w:rsidRPr="00B62920">
        <w:rPr>
          <w:color w:val="000000" w:themeColor="text1"/>
          <w:lang w:val="en-GB"/>
        </w:rPr>
        <w:t>with</w:t>
      </w:r>
      <w:r w:rsidRPr="00B62920">
        <w:rPr>
          <w:bCs/>
          <w:color w:val="000000" w:themeColor="text1"/>
          <w:lang w:val="en-GB"/>
        </w:rPr>
        <w:t xml:space="preserve"> the UN </w:t>
      </w:r>
      <w:r w:rsidRPr="00B62920">
        <w:rPr>
          <w:color w:val="000000" w:themeColor="text1"/>
          <w:lang w:val="en-GB"/>
        </w:rPr>
        <w:t>General</w:t>
      </w:r>
      <w:r w:rsidRPr="00B62920">
        <w:rPr>
          <w:bCs/>
          <w:color w:val="000000" w:themeColor="text1"/>
          <w:lang w:val="en-GB"/>
        </w:rPr>
        <w:t xml:space="preserve"> Assembly Resolution on “Basic Principles and </w:t>
      </w:r>
      <w:r w:rsidRPr="00B62920">
        <w:rPr>
          <w:color w:val="000000" w:themeColor="text1"/>
          <w:lang w:val="en-GB"/>
        </w:rPr>
        <w:t>Guidelines</w:t>
      </w:r>
      <w:r w:rsidRPr="00B62920">
        <w:rPr>
          <w:bCs/>
          <w:color w:val="000000" w:themeColor="text1"/>
          <w:lang w:val="en-GB"/>
        </w:rPr>
        <w:t xml:space="preserve"> on the Right to a Remedy and Reparation for Victims of Gross Violations of International Human Rights Law and Serious Violations of International Humanitarian Law” (A/Res/60/147, 21 March 2006), takes </w:t>
      </w:r>
      <w:r w:rsidRPr="00B62920">
        <w:rPr>
          <w:color w:val="000000" w:themeColor="text1"/>
          <w:lang w:val="en-GB"/>
        </w:rPr>
        <w:t>appropriate steps,  through other UN affiliated entities operating in Kosovo, local bodies and non-governmental organisations, for the realisation of a full and comprehensive reparation programme, including restitution compensation, rehabilitation, satisfaction and guarantees of non-repetition, for the victims from all communities of serious violations of human rights which occurred during and in the aftermath of the Kosovo conflict;</w:t>
      </w:r>
    </w:p>
    <w:p w:rsidR="00711F6E" w:rsidRPr="00B62920" w:rsidRDefault="00711F6E" w:rsidP="00711F6E">
      <w:pPr>
        <w:tabs>
          <w:tab w:val="left" w:pos="900"/>
        </w:tabs>
        <w:suppressAutoHyphens/>
        <w:autoSpaceDE w:val="0"/>
        <w:ind w:left="720"/>
        <w:jc w:val="both"/>
        <w:rPr>
          <w:color w:val="000000" w:themeColor="text1"/>
          <w:lang w:val="en-GB"/>
        </w:rPr>
      </w:pPr>
    </w:p>
    <w:p w:rsidR="00711F6E" w:rsidRPr="00B62920" w:rsidRDefault="00711F6E" w:rsidP="00E114D9">
      <w:pPr>
        <w:numPr>
          <w:ilvl w:val="2"/>
          <w:numId w:val="2"/>
        </w:numPr>
        <w:tabs>
          <w:tab w:val="left" w:pos="900"/>
        </w:tabs>
        <w:suppressAutoHyphens/>
        <w:autoSpaceDE w:val="0"/>
        <w:ind w:left="720" w:firstLine="0"/>
        <w:jc w:val="both"/>
        <w:rPr>
          <w:color w:val="000000" w:themeColor="text1"/>
          <w:lang w:val="en-GB"/>
        </w:rPr>
      </w:pPr>
      <w:r w:rsidRPr="00B62920">
        <w:rPr>
          <w:color w:val="000000" w:themeColor="text1"/>
          <w:lang w:val="en-GB"/>
        </w:rPr>
        <w:t>Takes appropriate steps before competent bodies of the United Nations, including the UN Secretary-General, towards the allocation of adequate human and financial resources to ensure that international human rights standards are upheld at all times by the United Nations, including when performing administrative and executive functions over a territory, and to make provision for effective and independent monitoring;</w:t>
      </w:r>
    </w:p>
    <w:p w:rsidR="00711F6E" w:rsidRPr="00B62920" w:rsidRDefault="00711F6E" w:rsidP="00711F6E">
      <w:pPr>
        <w:rPr>
          <w:color w:val="000000" w:themeColor="text1"/>
          <w:lang w:val="en-GB"/>
        </w:rPr>
      </w:pPr>
    </w:p>
    <w:p w:rsidR="00711F6E" w:rsidRPr="00B62920" w:rsidRDefault="00711F6E" w:rsidP="00711F6E">
      <w:pPr>
        <w:rPr>
          <w:color w:val="000000" w:themeColor="text1"/>
          <w:lang w:val="en-GB"/>
        </w:rPr>
      </w:pPr>
    </w:p>
    <w:p w:rsidR="00711F6E" w:rsidRPr="00B62920" w:rsidRDefault="00711F6E" w:rsidP="00711F6E">
      <w:pPr>
        <w:rPr>
          <w:color w:val="000000" w:themeColor="text1"/>
          <w:lang w:val="en-GB"/>
        </w:rPr>
      </w:pPr>
    </w:p>
    <w:p w:rsidR="00711F6E" w:rsidRPr="00B62920" w:rsidRDefault="00711F6E" w:rsidP="00711F6E">
      <w:pPr>
        <w:pStyle w:val="Normal1"/>
        <w:spacing w:before="0" w:beforeAutospacing="0" w:after="0" w:afterAutospacing="0"/>
        <w:jc w:val="both"/>
        <w:rPr>
          <w:b/>
          <w:color w:val="000000" w:themeColor="text1"/>
          <w:lang w:val="en-GB"/>
        </w:rPr>
      </w:pPr>
      <w:r w:rsidRPr="00B62920">
        <w:rPr>
          <w:b/>
          <w:color w:val="000000" w:themeColor="text1"/>
          <w:lang w:val="en-GB"/>
        </w:rPr>
        <w:t>FOR THESE REASONS,</w:t>
      </w:r>
    </w:p>
    <w:p w:rsidR="00711F6E" w:rsidRPr="00B62920" w:rsidRDefault="00711F6E" w:rsidP="00711F6E">
      <w:pPr>
        <w:pStyle w:val="Normal1"/>
        <w:spacing w:before="0" w:beforeAutospacing="0" w:after="0" w:afterAutospacing="0"/>
        <w:jc w:val="both"/>
        <w:rPr>
          <w:b/>
          <w:color w:val="000000" w:themeColor="text1"/>
          <w:lang w:val="en-GB"/>
        </w:rPr>
      </w:pPr>
    </w:p>
    <w:p w:rsidR="00711F6E" w:rsidRPr="00B62920" w:rsidRDefault="00711F6E" w:rsidP="00711F6E">
      <w:pPr>
        <w:autoSpaceDE w:val="0"/>
        <w:autoSpaceDN w:val="0"/>
        <w:adjustRightInd w:val="0"/>
        <w:jc w:val="both"/>
        <w:rPr>
          <w:color w:val="000000" w:themeColor="text1"/>
          <w:lang w:val="en-GB"/>
        </w:rPr>
      </w:pPr>
      <w:r w:rsidRPr="00B62920">
        <w:rPr>
          <w:color w:val="000000" w:themeColor="text1"/>
          <w:lang w:val="en-GB"/>
        </w:rPr>
        <w:t>The Panel, unanimously,</w:t>
      </w:r>
    </w:p>
    <w:p w:rsidR="00711F6E" w:rsidRPr="00B62920" w:rsidRDefault="00711F6E" w:rsidP="00711F6E">
      <w:pPr>
        <w:autoSpaceDE w:val="0"/>
        <w:autoSpaceDN w:val="0"/>
        <w:adjustRightInd w:val="0"/>
        <w:jc w:val="both"/>
        <w:rPr>
          <w:color w:val="000000" w:themeColor="text1"/>
          <w:lang w:val="en-GB"/>
        </w:rPr>
      </w:pPr>
    </w:p>
    <w:p w:rsidR="00711F6E" w:rsidRPr="00B62920" w:rsidRDefault="00711F6E" w:rsidP="00711F6E">
      <w:pPr>
        <w:autoSpaceDE w:val="0"/>
        <w:autoSpaceDN w:val="0"/>
        <w:adjustRightInd w:val="0"/>
        <w:jc w:val="both"/>
        <w:rPr>
          <w:color w:val="000000" w:themeColor="text1"/>
          <w:lang w:val="en-GB"/>
        </w:rPr>
      </w:pPr>
    </w:p>
    <w:p w:rsidR="00711F6E" w:rsidRPr="00B62920" w:rsidRDefault="00711F6E" w:rsidP="00711F6E">
      <w:pPr>
        <w:pStyle w:val="JuList"/>
        <w:numPr>
          <w:ilvl w:val="0"/>
          <w:numId w:val="5"/>
        </w:numPr>
        <w:tabs>
          <w:tab w:val="clear" w:pos="567"/>
          <w:tab w:val="num" w:pos="-142"/>
        </w:tabs>
        <w:ind w:left="284" w:hanging="284"/>
        <w:rPr>
          <w:b/>
          <w:color w:val="000000" w:themeColor="text1"/>
        </w:rPr>
      </w:pPr>
      <w:r w:rsidRPr="00B62920">
        <w:rPr>
          <w:b/>
          <w:color w:val="000000" w:themeColor="text1"/>
        </w:rPr>
        <w:t>FINDS THAT THERE HAS BEEN A VIOLATION OF THE PROCEDURAL OBLIGATION UNDER ARTICLE 2 OF THE EUROPEAN CONVENTION ON HUMAN RIGHTS;</w:t>
      </w:r>
    </w:p>
    <w:p w:rsidR="00711F6E" w:rsidRPr="00B62920" w:rsidRDefault="00711F6E" w:rsidP="00711F6E">
      <w:pPr>
        <w:pStyle w:val="JuList"/>
        <w:ind w:left="0" w:firstLine="0"/>
        <w:rPr>
          <w:b/>
          <w:color w:val="000000" w:themeColor="text1"/>
        </w:rPr>
      </w:pPr>
    </w:p>
    <w:p w:rsidR="00711F6E" w:rsidRPr="00B62920" w:rsidRDefault="00711F6E" w:rsidP="009F3F3C">
      <w:pPr>
        <w:pStyle w:val="JuList"/>
        <w:numPr>
          <w:ilvl w:val="0"/>
          <w:numId w:val="5"/>
        </w:numPr>
        <w:tabs>
          <w:tab w:val="clear" w:pos="567"/>
          <w:tab w:val="num" w:pos="-142"/>
        </w:tabs>
        <w:ind w:left="284" w:hanging="284"/>
        <w:rPr>
          <w:b/>
          <w:color w:val="000000" w:themeColor="text1"/>
        </w:rPr>
      </w:pPr>
      <w:r w:rsidRPr="00B62920">
        <w:rPr>
          <w:b/>
          <w:color w:val="000000" w:themeColor="text1"/>
        </w:rPr>
        <w:t>FINDS THAT THERE HAS BEEN A VIOLATION OF THE SUBSTANTIVE OBLIGATION UNDER ARTICLE 3 OF THE EUROPEAN CONVENTION ON HUMAN RIGHTS, IN RELATION TO THE</w:t>
      </w:r>
      <w:r w:rsidR="00874A40" w:rsidRPr="00B62920">
        <w:rPr>
          <w:b/>
          <w:color w:val="000000" w:themeColor="text1"/>
        </w:rPr>
        <w:t xml:space="preserve"> </w:t>
      </w:r>
      <w:r w:rsidR="001F0511" w:rsidRPr="00B62920">
        <w:rPr>
          <w:b/>
          <w:color w:val="000000" w:themeColor="text1"/>
        </w:rPr>
        <w:t>DISAPPEARANCE</w:t>
      </w:r>
      <w:r w:rsidR="007831C3" w:rsidRPr="00B62920">
        <w:rPr>
          <w:b/>
          <w:color w:val="000000" w:themeColor="text1"/>
        </w:rPr>
        <w:t xml:space="preserve"> OF </w:t>
      </w:r>
      <w:r w:rsidR="007C59FC" w:rsidRPr="00B62920">
        <w:rPr>
          <w:b/>
          <w:color w:val="000000" w:themeColor="text1"/>
          <w:lang w:val="en-US"/>
        </w:rPr>
        <w:t>MR DUŠKO KARANOVIĆ</w:t>
      </w:r>
      <w:r w:rsidRPr="00B62920">
        <w:rPr>
          <w:b/>
          <w:color w:val="000000" w:themeColor="text1"/>
        </w:rPr>
        <w:t>;</w:t>
      </w:r>
    </w:p>
    <w:p w:rsidR="00711F6E" w:rsidRPr="00B62920" w:rsidRDefault="00711F6E" w:rsidP="00711F6E">
      <w:pPr>
        <w:pStyle w:val="JuList"/>
        <w:ind w:left="0" w:firstLine="0"/>
        <w:rPr>
          <w:b/>
          <w:color w:val="000000" w:themeColor="text1"/>
        </w:rPr>
      </w:pPr>
    </w:p>
    <w:p w:rsidR="00711F6E" w:rsidRPr="00B62920" w:rsidRDefault="00711F6E" w:rsidP="00711F6E">
      <w:pPr>
        <w:pStyle w:val="JuList"/>
        <w:numPr>
          <w:ilvl w:val="0"/>
          <w:numId w:val="5"/>
        </w:numPr>
        <w:tabs>
          <w:tab w:val="clear" w:pos="567"/>
          <w:tab w:val="num" w:pos="-142"/>
        </w:tabs>
        <w:ind w:left="284" w:hanging="284"/>
        <w:rPr>
          <w:b/>
          <w:color w:val="000000" w:themeColor="text1"/>
        </w:rPr>
      </w:pPr>
      <w:r w:rsidRPr="00B62920">
        <w:rPr>
          <w:b/>
          <w:color w:val="000000" w:themeColor="text1"/>
        </w:rPr>
        <w:t>RECOMMENDS</w:t>
      </w:r>
      <w:r w:rsidRPr="00B62920">
        <w:rPr>
          <w:b/>
          <w:bCs/>
          <w:color w:val="000000" w:themeColor="text1"/>
          <w:lang w:eastAsia="en-US"/>
        </w:rPr>
        <w:t xml:space="preserve"> THAT UNMIK:</w:t>
      </w:r>
    </w:p>
    <w:p w:rsidR="00711F6E" w:rsidRPr="00B62920" w:rsidRDefault="00711F6E" w:rsidP="00711F6E">
      <w:pPr>
        <w:pStyle w:val="JuList"/>
        <w:ind w:left="0" w:firstLine="0"/>
        <w:rPr>
          <w:b/>
          <w:bCs/>
          <w:color w:val="000000" w:themeColor="text1"/>
          <w:lang w:eastAsia="en-US"/>
        </w:rPr>
      </w:pPr>
    </w:p>
    <w:p w:rsidR="00711F6E" w:rsidRPr="00B62920" w:rsidRDefault="00711F6E" w:rsidP="00711F6E">
      <w:pPr>
        <w:pStyle w:val="JuList"/>
        <w:numPr>
          <w:ilvl w:val="0"/>
          <w:numId w:val="18"/>
        </w:numPr>
        <w:tabs>
          <w:tab w:val="num" w:pos="720"/>
        </w:tabs>
        <w:rPr>
          <w:b/>
          <w:bCs/>
          <w:color w:val="000000" w:themeColor="text1"/>
          <w:lang w:eastAsia="en-US"/>
        </w:rPr>
      </w:pPr>
      <w:r w:rsidRPr="00B62920">
        <w:rPr>
          <w:b/>
          <w:bCs/>
          <w:color w:val="000000" w:themeColor="text1"/>
          <w:lang w:eastAsia="en-US"/>
        </w:rPr>
        <w:t xml:space="preserve">URGES THE COMPETENT AUTHORITIES IN KOSOVO TO TAKE ALL POSSIBLE STEPS IN ORDER TO ENSURE THAT THE CRIMINAL INVESTIGATION INTO </w:t>
      </w:r>
      <w:r w:rsidRPr="00B62920">
        <w:rPr>
          <w:b/>
          <w:bCs/>
          <w:color w:val="000000" w:themeColor="text1"/>
        </w:rPr>
        <w:t>THE</w:t>
      </w:r>
      <w:r w:rsidR="00874A40" w:rsidRPr="00B62920">
        <w:rPr>
          <w:b/>
          <w:bCs/>
          <w:color w:val="000000" w:themeColor="text1"/>
        </w:rPr>
        <w:t xml:space="preserve"> </w:t>
      </w:r>
      <w:r w:rsidR="001F0511" w:rsidRPr="00B62920">
        <w:rPr>
          <w:b/>
          <w:color w:val="000000" w:themeColor="text1"/>
        </w:rPr>
        <w:t>DISAPPEARANCE</w:t>
      </w:r>
      <w:r w:rsidR="00AD7F08" w:rsidRPr="00B62920">
        <w:rPr>
          <w:b/>
          <w:color w:val="000000" w:themeColor="text1"/>
        </w:rPr>
        <w:t xml:space="preserve"> OF </w:t>
      </w:r>
      <w:r w:rsidR="007C59FC" w:rsidRPr="00B62920">
        <w:rPr>
          <w:b/>
          <w:color w:val="000000" w:themeColor="text1"/>
          <w:lang w:val="en-US"/>
        </w:rPr>
        <w:t>MR DUŠKO KARANOVIĆ</w:t>
      </w:r>
      <w:r w:rsidR="007C59FC" w:rsidRPr="00B62920">
        <w:rPr>
          <w:b/>
          <w:color w:val="000000" w:themeColor="text1"/>
        </w:rPr>
        <w:t xml:space="preserve"> </w:t>
      </w:r>
      <w:r w:rsidRPr="00B62920">
        <w:rPr>
          <w:b/>
          <w:color w:val="000000" w:themeColor="text1"/>
        </w:rPr>
        <w:t>IS</w:t>
      </w:r>
      <w:r w:rsidRPr="00B62920">
        <w:rPr>
          <w:b/>
          <w:bCs/>
          <w:color w:val="000000" w:themeColor="text1"/>
          <w:lang w:eastAsia="en-US"/>
        </w:rPr>
        <w:t xml:space="preserve"> CONTINUED IN COMPLIANCE WITH ARTICLE 2 OF THE ECHR AND THAT THE PERPETRATORS ARE BROUGHT TO JUSTICE;</w:t>
      </w:r>
    </w:p>
    <w:p w:rsidR="00711F6E" w:rsidRPr="00B62920" w:rsidRDefault="00711F6E" w:rsidP="00711F6E">
      <w:pPr>
        <w:pStyle w:val="JuList"/>
        <w:ind w:left="426" w:hanging="283"/>
        <w:rPr>
          <w:b/>
          <w:bCs/>
          <w:color w:val="000000" w:themeColor="text1"/>
          <w:lang w:eastAsia="en-US"/>
        </w:rPr>
      </w:pPr>
    </w:p>
    <w:p w:rsidR="00711F6E" w:rsidRPr="00B62920" w:rsidRDefault="00711F6E" w:rsidP="00711F6E">
      <w:pPr>
        <w:pStyle w:val="JuList"/>
        <w:numPr>
          <w:ilvl w:val="0"/>
          <w:numId w:val="18"/>
        </w:numPr>
        <w:tabs>
          <w:tab w:val="num" w:pos="720"/>
        </w:tabs>
        <w:rPr>
          <w:b/>
          <w:bCs/>
          <w:color w:val="000000" w:themeColor="text1"/>
          <w:lang w:eastAsia="en-US"/>
        </w:rPr>
      </w:pPr>
      <w:r w:rsidRPr="00B62920">
        <w:rPr>
          <w:b/>
          <w:bCs/>
          <w:color w:val="000000" w:themeColor="text1"/>
          <w:lang w:eastAsia="en-US"/>
        </w:rPr>
        <w:t>PUBLICLY ACKNOWLEDGES</w:t>
      </w:r>
      <w:r w:rsidR="00FC30AF" w:rsidRPr="00B62920">
        <w:rPr>
          <w:b/>
          <w:bCs/>
          <w:color w:val="000000" w:themeColor="text1"/>
          <w:lang w:eastAsia="en-US"/>
        </w:rPr>
        <w:t>,</w:t>
      </w:r>
      <w:r w:rsidRPr="00B62920">
        <w:rPr>
          <w:b/>
          <w:bCs/>
          <w:color w:val="000000" w:themeColor="text1"/>
          <w:lang w:eastAsia="en-US"/>
        </w:rPr>
        <w:t xml:space="preserve"> INCLUDING THROUGH MEDIA</w:t>
      </w:r>
      <w:r w:rsidR="00FC30AF" w:rsidRPr="00B62920">
        <w:rPr>
          <w:b/>
          <w:bCs/>
          <w:color w:val="000000" w:themeColor="text1"/>
          <w:lang w:eastAsia="en-US"/>
        </w:rPr>
        <w:t>,</w:t>
      </w:r>
      <w:r w:rsidRPr="00B62920">
        <w:rPr>
          <w:b/>
          <w:bCs/>
          <w:color w:val="000000" w:themeColor="text1"/>
          <w:lang w:eastAsia="en-US"/>
        </w:rPr>
        <w:t xml:space="preserve"> RESPONSIBILITY FOR ITS FAILURE TO CONDUCT AN EFFECTIVE INVESTIGATION INTO </w:t>
      </w:r>
      <w:r w:rsidRPr="00B62920">
        <w:rPr>
          <w:b/>
          <w:bCs/>
          <w:color w:val="000000" w:themeColor="text1"/>
        </w:rPr>
        <w:t xml:space="preserve">THE </w:t>
      </w:r>
      <w:r w:rsidR="007831C3" w:rsidRPr="00B62920">
        <w:rPr>
          <w:b/>
          <w:color w:val="000000" w:themeColor="text1"/>
        </w:rPr>
        <w:t xml:space="preserve">DISAPPEARANCE OF </w:t>
      </w:r>
      <w:r w:rsidR="007C59FC" w:rsidRPr="00B62920">
        <w:rPr>
          <w:b/>
          <w:color w:val="000000" w:themeColor="text1"/>
          <w:lang w:val="en-US"/>
        </w:rPr>
        <w:t>MR DUŠKO KARANOVIĆ</w:t>
      </w:r>
      <w:r w:rsidRPr="00B62920">
        <w:rPr>
          <w:b/>
          <w:bCs/>
          <w:color w:val="000000" w:themeColor="text1"/>
          <w:lang w:eastAsia="en-US"/>
        </w:rPr>
        <w:t>, AS WELL AS FOR DISTRESS AND MENTAL SUFFERING INCURRED</w:t>
      </w:r>
      <w:r w:rsidR="00DD33CB" w:rsidRPr="00B62920">
        <w:rPr>
          <w:b/>
          <w:bCs/>
          <w:color w:val="000000" w:themeColor="text1"/>
          <w:lang w:eastAsia="en-US"/>
        </w:rPr>
        <w:t xml:space="preserve"> BY THE COMPLAINANT</w:t>
      </w:r>
      <w:r w:rsidRPr="00B62920">
        <w:rPr>
          <w:b/>
          <w:bCs/>
          <w:color w:val="000000" w:themeColor="text1"/>
          <w:lang w:eastAsia="en-US"/>
        </w:rPr>
        <w:t xml:space="preserve">, AND MAKES A PUBLIC APOLOGY TO </w:t>
      </w:r>
      <w:r w:rsidR="007C59FC" w:rsidRPr="00B62920">
        <w:rPr>
          <w:b/>
          <w:bCs/>
          <w:color w:val="000000" w:themeColor="text1"/>
          <w:lang w:eastAsia="en-US"/>
        </w:rPr>
        <w:t>HER</w:t>
      </w:r>
      <w:r w:rsidRPr="00B62920">
        <w:rPr>
          <w:b/>
          <w:bCs/>
          <w:color w:val="000000" w:themeColor="text1"/>
          <w:lang w:eastAsia="en-US"/>
        </w:rPr>
        <w:t xml:space="preserve"> AND H</w:t>
      </w:r>
      <w:r w:rsidR="007C59FC" w:rsidRPr="00B62920">
        <w:rPr>
          <w:b/>
          <w:bCs/>
          <w:color w:val="000000" w:themeColor="text1"/>
          <w:lang w:eastAsia="en-US"/>
        </w:rPr>
        <w:t>ER</w:t>
      </w:r>
      <w:r w:rsidRPr="00B62920">
        <w:rPr>
          <w:b/>
          <w:bCs/>
          <w:color w:val="000000" w:themeColor="text1"/>
          <w:lang w:eastAsia="en-US"/>
        </w:rPr>
        <w:t xml:space="preserve"> FAMILY;</w:t>
      </w:r>
    </w:p>
    <w:p w:rsidR="00711F6E" w:rsidRPr="00B62920" w:rsidRDefault="00711F6E" w:rsidP="00711F6E">
      <w:pPr>
        <w:pStyle w:val="JuList"/>
        <w:ind w:left="426" w:hanging="283"/>
        <w:rPr>
          <w:b/>
          <w:bCs/>
          <w:color w:val="000000" w:themeColor="text1"/>
          <w:lang w:eastAsia="en-US"/>
        </w:rPr>
      </w:pPr>
    </w:p>
    <w:p w:rsidR="00711F6E" w:rsidRPr="00B62920" w:rsidRDefault="00711F6E" w:rsidP="00711F6E">
      <w:pPr>
        <w:pStyle w:val="JuList"/>
        <w:numPr>
          <w:ilvl w:val="0"/>
          <w:numId w:val="18"/>
        </w:numPr>
        <w:tabs>
          <w:tab w:val="num" w:pos="720"/>
        </w:tabs>
        <w:rPr>
          <w:b/>
          <w:bCs/>
          <w:color w:val="000000" w:themeColor="text1"/>
          <w:lang w:eastAsia="en-US"/>
        </w:rPr>
      </w:pPr>
      <w:r w:rsidRPr="00B62920">
        <w:rPr>
          <w:b/>
          <w:bCs/>
          <w:color w:val="000000" w:themeColor="text1"/>
          <w:lang w:eastAsia="en-US"/>
        </w:rPr>
        <w:t>TAKES APPROPRIATE STEPS TOWARDS PAYMENT OF ADEQUATE COMPENSATION TO THE COMPLAINANT FOR MORAL DAMAGE IN RELATION TO THE FINDING OF VIOLATIONS OF ARTICLE 2 AND ARTICLE 3 OF THE ECHR.</w:t>
      </w:r>
    </w:p>
    <w:p w:rsidR="00711F6E" w:rsidRPr="00B62920" w:rsidRDefault="00711F6E" w:rsidP="00711F6E">
      <w:pPr>
        <w:pStyle w:val="JuList"/>
        <w:ind w:left="426" w:hanging="283"/>
        <w:rPr>
          <w:b/>
          <w:bCs/>
          <w:color w:val="000000" w:themeColor="text1"/>
          <w:lang w:eastAsia="en-US"/>
        </w:rPr>
      </w:pPr>
    </w:p>
    <w:p w:rsidR="00711F6E" w:rsidRPr="00B62920" w:rsidRDefault="00711F6E" w:rsidP="00711F6E">
      <w:pPr>
        <w:pStyle w:val="JuList"/>
        <w:numPr>
          <w:ilvl w:val="0"/>
          <w:numId w:val="18"/>
        </w:numPr>
        <w:tabs>
          <w:tab w:val="num" w:pos="720"/>
        </w:tabs>
        <w:rPr>
          <w:b/>
          <w:bCs/>
          <w:color w:val="000000" w:themeColor="text1"/>
          <w:lang w:eastAsia="en-US"/>
        </w:rPr>
      </w:pPr>
      <w:r w:rsidRPr="00B62920">
        <w:rPr>
          <w:b/>
          <w:bCs/>
          <w:color w:val="000000" w:themeColor="text1"/>
          <w:lang w:eastAsia="en-US"/>
        </w:rPr>
        <w:t>TAKES APPROPRIATE STEPS TOWARDS THE REALISATION OF A FULL AND COMPREHENSIVE REPARATION PROGRAMME;</w:t>
      </w:r>
    </w:p>
    <w:p w:rsidR="00711F6E" w:rsidRPr="00B62920" w:rsidRDefault="00711F6E" w:rsidP="00711F6E">
      <w:pPr>
        <w:pStyle w:val="JuList"/>
        <w:ind w:left="426" w:hanging="283"/>
        <w:rPr>
          <w:b/>
          <w:bCs/>
          <w:color w:val="000000" w:themeColor="text1"/>
          <w:lang w:eastAsia="en-US"/>
        </w:rPr>
      </w:pPr>
    </w:p>
    <w:p w:rsidR="00711F6E" w:rsidRPr="00B62920" w:rsidRDefault="00711F6E" w:rsidP="00711F6E">
      <w:pPr>
        <w:pStyle w:val="JuList"/>
        <w:numPr>
          <w:ilvl w:val="0"/>
          <w:numId w:val="18"/>
        </w:numPr>
        <w:tabs>
          <w:tab w:val="num" w:pos="720"/>
        </w:tabs>
        <w:rPr>
          <w:b/>
          <w:bCs/>
          <w:color w:val="000000" w:themeColor="text1"/>
          <w:lang w:eastAsia="en-US"/>
        </w:rPr>
      </w:pPr>
      <w:r w:rsidRPr="00B62920">
        <w:rPr>
          <w:b/>
          <w:bCs/>
          <w:color w:val="000000" w:themeColor="text1"/>
          <w:lang w:eastAsia="en-US"/>
        </w:rPr>
        <w:t>TAKES APPROPRIATE STEPS AT THE UNITED NATIONS AS A GUARANTEE OF NON REPETITION;</w:t>
      </w:r>
    </w:p>
    <w:p w:rsidR="00711F6E" w:rsidRPr="00B62920" w:rsidRDefault="00711F6E" w:rsidP="00711F6E">
      <w:pPr>
        <w:pStyle w:val="JuList"/>
        <w:ind w:left="426" w:hanging="283"/>
        <w:rPr>
          <w:b/>
          <w:bCs/>
          <w:color w:val="000000" w:themeColor="text1"/>
          <w:lang w:eastAsia="en-US"/>
        </w:rPr>
      </w:pPr>
    </w:p>
    <w:p w:rsidR="00711F6E" w:rsidRPr="00B62920" w:rsidRDefault="00711F6E" w:rsidP="00711F6E">
      <w:pPr>
        <w:pStyle w:val="JuList"/>
        <w:numPr>
          <w:ilvl w:val="0"/>
          <w:numId w:val="18"/>
        </w:numPr>
        <w:tabs>
          <w:tab w:val="num" w:pos="720"/>
        </w:tabs>
        <w:rPr>
          <w:b/>
          <w:bCs/>
          <w:color w:val="000000" w:themeColor="text1"/>
          <w:lang w:eastAsia="en-US"/>
        </w:rPr>
      </w:pPr>
      <w:r w:rsidRPr="00B62920">
        <w:rPr>
          <w:b/>
          <w:bCs/>
          <w:color w:val="000000" w:themeColor="text1"/>
          <w:lang w:eastAsia="en-US"/>
        </w:rPr>
        <w:t>TAKES IMMEDIATE AND EFFECTIVE MEASURES TO IMPLEMENT THE RECOMMENDATIONS OF THE PANEL AND TO INFORM THE COMPLAINANT AND THE PANEL ABOUT FURTHER DEVELOPMENTS IN THIS CASE.</w:t>
      </w:r>
    </w:p>
    <w:p w:rsidR="00711F6E" w:rsidRPr="00B62920" w:rsidRDefault="00711F6E" w:rsidP="00711F6E">
      <w:pPr>
        <w:autoSpaceDE w:val="0"/>
        <w:autoSpaceDN w:val="0"/>
        <w:adjustRightInd w:val="0"/>
        <w:jc w:val="both"/>
        <w:rPr>
          <w:color w:val="000000" w:themeColor="text1"/>
          <w:lang w:val="en-GB"/>
        </w:rPr>
      </w:pPr>
    </w:p>
    <w:p w:rsidR="00E92DED" w:rsidRPr="00B62920" w:rsidRDefault="00E92DED" w:rsidP="00711F6E">
      <w:pPr>
        <w:autoSpaceDE w:val="0"/>
        <w:autoSpaceDN w:val="0"/>
        <w:adjustRightInd w:val="0"/>
        <w:jc w:val="both"/>
        <w:rPr>
          <w:color w:val="000000" w:themeColor="text1"/>
          <w:lang w:val="en-GB"/>
        </w:rPr>
      </w:pPr>
    </w:p>
    <w:p w:rsidR="00453993" w:rsidRPr="00B62920" w:rsidRDefault="00453993" w:rsidP="00711F6E">
      <w:pPr>
        <w:autoSpaceDE w:val="0"/>
        <w:autoSpaceDN w:val="0"/>
        <w:adjustRightInd w:val="0"/>
        <w:jc w:val="both"/>
        <w:rPr>
          <w:color w:val="000000" w:themeColor="text1"/>
          <w:lang w:val="en-GB"/>
        </w:rPr>
      </w:pPr>
    </w:p>
    <w:p w:rsidR="00453993" w:rsidRPr="00B62920" w:rsidRDefault="00453993" w:rsidP="00711F6E">
      <w:pPr>
        <w:autoSpaceDE w:val="0"/>
        <w:autoSpaceDN w:val="0"/>
        <w:adjustRightInd w:val="0"/>
        <w:jc w:val="both"/>
        <w:rPr>
          <w:color w:val="000000" w:themeColor="text1"/>
          <w:lang w:val="en-GB"/>
        </w:rPr>
      </w:pPr>
    </w:p>
    <w:p w:rsidR="00453993" w:rsidRPr="00B62920" w:rsidRDefault="00453993" w:rsidP="00711F6E">
      <w:pPr>
        <w:autoSpaceDE w:val="0"/>
        <w:autoSpaceDN w:val="0"/>
        <w:adjustRightInd w:val="0"/>
        <w:jc w:val="both"/>
        <w:rPr>
          <w:color w:val="000000" w:themeColor="text1"/>
          <w:lang w:val="en-GB"/>
        </w:rPr>
      </w:pPr>
    </w:p>
    <w:p w:rsidR="00E92DED" w:rsidRPr="00B62920" w:rsidRDefault="00E92DED" w:rsidP="00711F6E">
      <w:pPr>
        <w:autoSpaceDE w:val="0"/>
        <w:autoSpaceDN w:val="0"/>
        <w:adjustRightInd w:val="0"/>
        <w:jc w:val="both"/>
        <w:rPr>
          <w:color w:val="000000" w:themeColor="text1"/>
          <w:lang w:val="en-GB"/>
        </w:rPr>
      </w:pPr>
    </w:p>
    <w:p w:rsidR="00711F6E" w:rsidRPr="00B62920" w:rsidRDefault="00711F6E" w:rsidP="00711F6E">
      <w:pPr>
        <w:autoSpaceDE w:val="0"/>
        <w:autoSpaceDN w:val="0"/>
        <w:adjustRightInd w:val="0"/>
        <w:jc w:val="both"/>
        <w:rPr>
          <w:color w:val="000000" w:themeColor="text1"/>
          <w:lang w:val="en-GB"/>
        </w:rPr>
      </w:pPr>
      <w:r w:rsidRPr="00B62920">
        <w:rPr>
          <w:color w:val="000000" w:themeColor="text1"/>
          <w:lang w:val="en-GB"/>
        </w:rPr>
        <w:t xml:space="preserve"> Andrey Antonov</w:t>
      </w:r>
      <w:r w:rsidRPr="00B62920">
        <w:rPr>
          <w:color w:val="000000" w:themeColor="text1"/>
          <w:lang w:val="en-GB"/>
        </w:rPr>
        <w:tab/>
      </w:r>
      <w:r w:rsidRPr="00B62920">
        <w:rPr>
          <w:color w:val="000000" w:themeColor="text1"/>
          <w:lang w:val="en-GB"/>
        </w:rPr>
        <w:tab/>
      </w:r>
      <w:r w:rsidRPr="00B62920">
        <w:rPr>
          <w:color w:val="000000" w:themeColor="text1"/>
          <w:lang w:val="en-GB"/>
        </w:rPr>
        <w:tab/>
      </w:r>
      <w:r w:rsidRPr="00B62920">
        <w:rPr>
          <w:color w:val="000000" w:themeColor="text1"/>
          <w:lang w:val="en-GB"/>
        </w:rPr>
        <w:tab/>
      </w:r>
      <w:r w:rsidRPr="00B62920">
        <w:rPr>
          <w:color w:val="000000" w:themeColor="text1"/>
          <w:lang w:val="en-GB"/>
        </w:rPr>
        <w:tab/>
      </w:r>
      <w:r w:rsidRPr="00B62920">
        <w:rPr>
          <w:color w:val="000000" w:themeColor="text1"/>
          <w:lang w:val="en-GB"/>
        </w:rPr>
        <w:tab/>
      </w:r>
      <w:r w:rsidRPr="00B62920">
        <w:rPr>
          <w:color w:val="000000" w:themeColor="text1"/>
          <w:lang w:val="en-GB"/>
        </w:rPr>
        <w:tab/>
        <w:t>Marek Nowicki</w:t>
      </w:r>
    </w:p>
    <w:p w:rsidR="00711F6E" w:rsidRPr="00B62920" w:rsidRDefault="00711F6E" w:rsidP="00711F6E">
      <w:pPr>
        <w:autoSpaceDE w:val="0"/>
        <w:autoSpaceDN w:val="0"/>
        <w:adjustRightInd w:val="0"/>
        <w:jc w:val="both"/>
        <w:rPr>
          <w:color w:val="000000" w:themeColor="text1"/>
          <w:lang w:val="en-GB"/>
        </w:rPr>
      </w:pPr>
      <w:r w:rsidRPr="00B62920">
        <w:rPr>
          <w:color w:val="000000" w:themeColor="text1"/>
          <w:lang w:val="en-GB"/>
        </w:rPr>
        <w:t xml:space="preserve"> Executive Officer </w:t>
      </w:r>
      <w:r w:rsidRPr="00B62920">
        <w:rPr>
          <w:color w:val="000000" w:themeColor="text1"/>
          <w:lang w:val="en-GB"/>
        </w:rPr>
        <w:tab/>
      </w:r>
      <w:r w:rsidRPr="00B62920">
        <w:rPr>
          <w:color w:val="000000" w:themeColor="text1"/>
          <w:lang w:val="en-GB"/>
        </w:rPr>
        <w:tab/>
      </w:r>
      <w:r w:rsidRPr="00B62920">
        <w:rPr>
          <w:color w:val="000000" w:themeColor="text1"/>
          <w:lang w:val="en-GB"/>
        </w:rPr>
        <w:tab/>
      </w:r>
      <w:r w:rsidRPr="00B62920">
        <w:rPr>
          <w:color w:val="000000" w:themeColor="text1"/>
          <w:lang w:val="en-GB"/>
        </w:rPr>
        <w:tab/>
      </w:r>
      <w:r w:rsidRPr="00B62920">
        <w:rPr>
          <w:color w:val="000000" w:themeColor="text1"/>
          <w:lang w:val="en-GB"/>
        </w:rPr>
        <w:tab/>
      </w:r>
      <w:r w:rsidRPr="00B62920">
        <w:rPr>
          <w:color w:val="000000" w:themeColor="text1"/>
          <w:lang w:val="en-GB"/>
        </w:rPr>
        <w:tab/>
      </w:r>
      <w:r w:rsidRPr="00B62920">
        <w:rPr>
          <w:color w:val="000000" w:themeColor="text1"/>
          <w:lang w:val="en-GB"/>
        </w:rPr>
        <w:tab/>
        <w:t>Presiding Member</w:t>
      </w:r>
    </w:p>
    <w:p w:rsidR="00711F6E" w:rsidRPr="00B62920" w:rsidRDefault="00711F6E" w:rsidP="00711F6E">
      <w:pPr>
        <w:rPr>
          <w:i/>
          <w:color w:val="000000" w:themeColor="text1"/>
          <w:lang w:val="en-GB"/>
        </w:rPr>
      </w:pPr>
    </w:p>
    <w:p w:rsidR="009A6E2B" w:rsidRPr="00B62920" w:rsidRDefault="009A6E2B" w:rsidP="00711F6E">
      <w:pPr>
        <w:rPr>
          <w:i/>
          <w:color w:val="000000" w:themeColor="text1"/>
          <w:lang w:val="en-GB"/>
        </w:rPr>
      </w:pPr>
    </w:p>
    <w:p w:rsidR="009A6E2B" w:rsidRPr="00B62920" w:rsidRDefault="009A6E2B" w:rsidP="00711F6E">
      <w:pPr>
        <w:rPr>
          <w:i/>
          <w:color w:val="000000" w:themeColor="text1"/>
          <w:lang w:val="en-GB"/>
        </w:rPr>
      </w:pPr>
    </w:p>
    <w:p w:rsidR="009A6E2B" w:rsidRPr="00B62920" w:rsidRDefault="009A6E2B" w:rsidP="00711F6E">
      <w:pPr>
        <w:rPr>
          <w:i/>
          <w:color w:val="000000" w:themeColor="text1"/>
          <w:lang w:val="en-GB"/>
        </w:rPr>
      </w:pPr>
    </w:p>
    <w:p w:rsidR="009A6E2B" w:rsidRPr="00B62920" w:rsidRDefault="009A6E2B" w:rsidP="00711F6E">
      <w:pPr>
        <w:rPr>
          <w:i/>
          <w:color w:val="000000" w:themeColor="text1"/>
          <w:lang w:val="en-GB"/>
        </w:rPr>
      </w:pPr>
    </w:p>
    <w:p w:rsidR="009A6E2B" w:rsidRPr="00B62920" w:rsidRDefault="009A6E2B" w:rsidP="00711F6E">
      <w:pPr>
        <w:rPr>
          <w:i/>
          <w:color w:val="000000" w:themeColor="text1"/>
          <w:lang w:val="en-GB"/>
        </w:rPr>
      </w:pPr>
    </w:p>
    <w:p w:rsidR="009A6E2B" w:rsidRPr="00B62920" w:rsidRDefault="009A6E2B" w:rsidP="00711F6E">
      <w:pPr>
        <w:rPr>
          <w:i/>
          <w:color w:val="000000" w:themeColor="text1"/>
          <w:lang w:val="en-GB"/>
        </w:rPr>
      </w:pPr>
    </w:p>
    <w:p w:rsidR="009A6E2B" w:rsidRPr="00B62920" w:rsidRDefault="009A6E2B" w:rsidP="00711F6E">
      <w:pPr>
        <w:rPr>
          <w:i/>
          <w:color w:val="000000" w:themeColor="text1"/>
          <w:lang w:val="en-GB"/>
        </w:rPr>
      </w:pPr>
    </w:p>
    <w:p w:rsidR="009A6E2B" w:rsidRPr="00B62920" w:rsidRDefault="009A6E2B" w:rsidP="00711F6E">
      <w:pPr>
        <w:rPr>
          <w:i/>
          <w:color w:val="000000" w:themeColor="text1"/>
          <w:lang w:val="en-GB"/>
        </w:rPr>
      </w:pPr>
    </w:p>
    <w:p w:rsidR="00453993" w:rsidRPr="00B62920" w:rsidRDefault="00453993">
      <w:pPr>
        <w:rPr>
          <w:i/>
          <w:color w:val="000000" w:themeColor="text1"/>
          <w:lang w:val="en-GB"/>
        </w:rPr>
      </w:pPr>
    </w:p>
    <w:p w:rsidR="00711F6E" w:rsidRPr="00B62920" w:rsidRDefault="00711F6E" w:rsidP="00711F6E">
      <w:pPr>
        <w:jc w:val="right"/>
        <w:rPr>
          <w:b/>
          <w:color w:val="000000" w:themeColor="text1"/>
          <w:lang w:val="en-GB"/>
        </w:rPr>
      </w:pPr>
      <w:r w:rsidRPr="00B62920">
        <w:rPr>
          <w:i/>
          <w:color w:val="000000" w:themeColor="text1"/>
          <w:lang w:val="en-GB"/>
        </w:rPr>
        <w:t>Annex</w:t>
      </w:r>
    </w:p>
    <w:p w:rsidR="00711F6E" w:rsidRPr="00B62920" w:rsidRDefault="00711F6E" w:rsidP="00711F6E">
      <w:pPr>
        <w:rPr>
          <w:b/>
          <w:color w:val="000000" w:themeColor="text1"/>
          <w:lang w:val="en-GB"/>
        </w:rPr>
      </w:pPr>
    </w:p>
    <w:p w:rsidR="00711F6E" w:rsidRPr="00B62920" w:rsidRDefault="00711F6E" w:rsidP="00711F6E">
      <w:pPr>
        <w:jc w:val="center"/>
        <w:rPr>
          <w:color w:val="000000" w:themeColor="text1"/>
          <w:lang w:val="en-GB"/>
        </w:rPr>
      </w:pPr>
      <w:r w:rsidRPr="00B62920">
        <w:rPr>
          <w:b/>
          <w:color w:val="000000" w:themeColor="text1"/>
          <w:lang w:val="en-GB"/>
        </w:rPr>
        <w:t>ABBREVIATIONS AND ACRONYMS</w:t>
      </w:r>
    </w:p>
    <w:p w:rsidR="00711F6E" w:rsidRPr="00B62920" w:rsidRDefault="00711F6E" w:rsidP="00711F6E">
      <w:pPr>
        <w:autoSpaceDE w:val="0"/>
        <w:jc w:val="both"/>
        <w:rPr>
          <w:color w:val="000000" w:themeColor="text1"/>
          <w:lang w:val="en-GB"/>
        </w:rPr>
      </w:pPr>
    </w:p>
    <w:p w:rsidR="00711F6E" w:rsidRPr="00B62920" w:rsidRDefault="00711F6E" w:rsidP="00711F6E">
      <w:pPr>
        <w:autoSpaceDE w:val="0"/>
        <w:jc w:val="both"/>
        <w:rPr>
          <w:color w:val="000000" w:themeColor="text1"/>
          <w:lang w:val="en-GB"/>
        </w:rPr>
      </w:pPr>
      <w:r w:rsidRPr="00B62920">
        <w:rPr>
          <w:b/>
          <w:color w:val="000000" w:themeColor="text1"/>
          <w:lang w:val="en-GB"/>
        </w:rPr>
        <w:t xml:space="preserve">CCPR - </w:t>
      </w:r>
      <w:r w:rsidRPr="00B62920">
        <w:rPr>
          <w:color w:val="000000" w:themeColor="text1"/>
          <w:lang w:val="en-GB"/>
        </w:rPr>
        <w:t>International Covenant on Civil and Political Rights</w:t>
      </w:r>
    </w:p>
    <w:p w:rsidR="00711F6E" w:rsidRPr="00B62920" w:rsidRDefault="00711F6E" w:rsidP="00711F6E">
      <w:pPr>
        <w:autoSpaceDE w:val="0"/>
        <w:jc w:val="both"/>
        <w:rPr>
          <w:color w:val="000000" w:themeColor="text1"/>
          <w:lang w:val="en-GB"/>
        </w:rPr>
      </w:pPr>
      <w:r w:rsidRPr="00B62920">
        <w:rPr>
          <w:b/>
          <w:color w:val="000000" w:themeColor="text1"/>
          <w:lang w:val="en-GB"/>
        </w:rPr>
        <w:t xml:space="preserve">DOJ </w:t>
      </w:r>
      <w:r w:rsidRPr="00B62920">
        <w:rPr>
          <w:color w:val="000000" w:themeColor="text1"/>
          <w:lang w:val="en-GB"/>
        </w:rPr>
        <w:t>- Department of Justice</w:t>
      </w:r>
    </w:p>
    <w:p w:rsidR="00711F6E" w:rsidRPr="00B62920" w:rsidRDefault="00711F6E" w:rsidP="00711F6E">
      <w:pPr>
        <w:autoSpaceDE w:val="0"/>
        <w:jc w:val="both"/>
        <w:rPr>
          <w:color w:val="000000" w:themeColor="text1"/>
          <w:lang w:val="en-GB"/>
        </w:rPr>
      </w:pPr>
      <w:r w:rsidRPr="00B62920">
        <w:rPr>
          <w:b/>
          <w:color w:val="000000" w:themeColor="text1"/>
          <w:lang w:val="en-GB"/>
        </w:rPr>
        <w:t>DPPO</w:t>
      </w:r>
      <w:r w:rsidRPr="00B62920">
        <w:rPr>
          <w:color w:val="000000" w:themeColor="text1"/>
          <w:lang w:val="en-GB"/>
        </w:rPr>
        <w:t xml:space="preserve"> - District Public Prosecutor’s Office</w:t>
      </w:r>
    </w:p>
    <w:p w:rsidR="00711F6E" w:rsidRPr="00B62920" w:rsidRDefault="00711F6E" w:rsidP="00711F6E">
      <w:pPr>
        <w:autoSpaceDE w:val="0"/>
        <w:jc w:val="both"/>
        <w:rPr>
          <w:color w:val="000000" w:themeColor="text1"/>
          <w:lang w:val="en-GB"/>
        </w:rPr>
      </w:pPr>
      <w:r w:rsidRPr="00B62920">
        <w:rPr>
          <w:b/>
          <w:color w:val="000000" w:themeColor="text1"/>
          <w:lang w:val="en-GB"/>
        </w:rPr>
        <w:t>ECHR</w:t>
      </w:r>
      <w:r w:rsidRPr="00B62920">
        <w:rPr>
          <w:color w:val="000000" w:themeColor="text1"/>
          <w:lang w:val="en-GB"/>
        </w:rPr>
        <w:t xml:space="preserve"> - European Convention on Human Rights</w:t>
      </w:r>
    </w:p>
    <w:p w:rsidR="00711F6E" w:rsidRPr="00B62920" w:rsidRDefault="00711F6E" w:rsidP="00711F6E">
      <w:pPr>
        <w:autoSpaceDE w:val="0"/>
        <w:jc w:val="both"/>
        <w:rPr>
          <w:color w:val="000000" w:themeColor="text1"/>
          <w:lang w:val="en-GB"/>
        </w:rPr>
      </w:pPr>
      <w:r w:rsidRPr="00B62920">
        <w:rPr>
          <w:b/>
          <w:color w:val="000000" w:themeColor="text1"/>
          <w:lang w:val="en-GB"/>
        </w:rPr>
        <w:t>ECtHR</w:t>
      </w:r>
      <w:r w:rsidRPr="00B62920">
        <w:rPr>
          <w:color w:val="000000" w:themeColor="text1"/>
          <w:lang w:val="en-GB"/>
        </w:rPr>
        <w:t xml:space="preserve">- European Court of Human Rights </w:t>
      </w:r>
    </w:p>
    <w:p w:rsidR="00711F6E" w:rsidRPr="00B62920" w:rsidRDefault="00711F6E" w:rsidP="00711F6E">
      <w:pPr>
        <w:autoSpaceDE w:val="0"/>
        <w:jc w:val="both"/>
        <w:rPr>
          <w:color w:val="000000" w:themeColor="text1"/>
          <w:lang w:val="en-GB"/>
        </w:rPr>
      </w:pPr>
      <w:r w:rsidRPr="00B62920">
        <w:rPr>
          <w:b/>
          <w:color w:val="000000" w:themeColor="text1"/>
          <w:lang w:val="en-GB"/>
        </w:rPr>
        <w:t>EU</w:t>
      </w:r>
      <w:r w:rsidRPr="00B62920">
        <w:rPr>
          <w:color w:val="000000" w:themeColor="text1"/>
          <w:lang w:val="en-GB"/>
        </w:rPr>
        <w:t xml:space="preserve"> – European Union</w:t>
      </w:r>
    </w:p>
    <w:p w:rsidR="00711F6E" w:rsidRPr="00B62920" w:rsidRDefault="00711F6E" w:rsidP="00711F6E">
      <w:pPr>
        <w:autoSpaceDE w:val="0"/>
        <w:jc w:val="both"/>
        <w:rPr>
          <w:color w:val="000000" w:themeColor="text1"/>
          <w:lang w:val="en-GB"/>
        </w:rPr>
      </w:pPr>
      <w:r w:rsidRPr="00B62920">
        <w:rPr>
          <w:b/>
          <w:color w:val="000000" w:themeColor="text1"/>
          <w:lang w:val="en-GB"/>
        </w:rPr>
        <w:t>EULEX</w:t>
      </w:r>
      <w:r w:rsidRPr="00B62920">
        <w:rPr>
          <w:color w:val="000000" w:themeColor="text1"/>
          <w:lang w:val="en-GB"/>
        </w:rPr>
        <w:t xml:space="preserve"> - European Union Rule of Law Mission in Kosovo</w:t>
      </w:r>
    </w:p>
    <w:p w:rsidR="00711F6E" w:rsidRPr="00B62920" w:rsidRDefault="00711F6E" w:rsidP="00711F6E">
      <w:pPr>
        <w:autoSpaceDE w:val="0"/>
        <w:jc w:val="both"/>
        <w:rPr>
          <w:color w:val="000000" w:themeColor="text1"/>
          <w:lang w:val="en-GB"/>
        </w:rPr>
      </w:pPr>
      <w:r w:rsidRPr="00B62920">
        <w:rPr>
          <w:b/>
          <w:color w:val="000000" w:themeColor="text1"/>
          <w:lang w:val="en-GB"/>
        </w:rPr>
        <w:t xml:space="preserve">FRY </w:t>
      </w:r>
      <w:r w:rsidRPr="00B62920">
        <w:rPr>
          <w:color w:val="000000" w:themeColor="text1"/>
          <w:lang w:val="en-GB"/>
        </w:rPr>
        <w:t xml:space="preserve">- Federal Republic of Yugoslavia </w:t>
      </w:r>
    </w:p>
    <w:p w:rsidR="007C59FC" w:rsidRPr="00B62920" w:rsidRDefault="007C59FC" w:rsidP="00711F6E">
      <w:pPr>
        <w:autoSpaceDE w:val="0"/>
        <w:jc w:val="both"/>
        <w:rPr>
          <w:color w:val="000000" w:themeColor="text1"/>
          <w:lang w:val="en-GB"/>
        </w:rPr>
      </w:pPr>
      <w:r w:rsidRPr="00B62920">
        <w:rPr>
          <w:b/>
          <w:color w:val="000000" w:themeColor="text1"/>
          <w:lang w:val="en-GB"/>
        </w:rPr>
        <w:t>HLC</w:t>
      </w:r>
      <w:r w:rsidRPr="00B62920">
        <w:rPr>
          <w:color w:val="000000" w:themeColor="text1"/>
          <w:lang w:val="en-GB"/>
        </w:rPr>
        <w:t xml:space="preserve"> – Humanitarian Law Centre</w:t>
      </w:r>
    </w:p>
    <w:p w:rsidR="00711F6E" w:rsidRPr="00B62920" w:rsidRDefault="00711F6E" w:rsidP="00711F6E">
      <w:pPr>
        <w:autoSpaceDE w:val="0"/>
        <w:jc w:val="both"/>
        <w:rPr>
          <w:color w:val="000000" w:themeColor="text1"/>
          <w:lang w:val="en-GB"/>
        </w:rPr>
      </w:pPr>
      <w:r w:rsidRPr="00B62920">
        <w:rPr>
          <w:b/>
          <w:color w:val="000000" w:themeColor="text1"/>
          <w:lang w:val="en-GB"/>
        </w:rPr>
        <w:t xml:space="preserve">HRAP </w:t>
      </w:r>
      <w:r w:rsidRPr="00B62920">
        <w:rPr>
          <w:color w:val="000000" w:themeColor="text1"/>
          <w:lang w:val="en-GB"/>
        </w:rPr>
        <w:t>- Human Rights Advisory Panel</w:t>
      </w:r>
    </w:p>
    <w:p w:rsidR="00711F6E" w:rsidRPr="00B62920" w:rsidRDefault="00711F6E" w:rsidP="00711F6E">
      <w:pPr>
        <w:autoSpaceDE w:val="0"/>
        <w:jc w:val="both"/>
        <w:rPr>
          <w:color w:val="000000" w:themeColor="text1"/>
          <w:lang w:val="en-GB"/>
        </w:rPr>
      </w:pPr>
      <w:r w:rsidRPr="00B62920">
        <w:rPr>
          <w:b/>
          <w:color w:val="000000" w:themeColor="text1"/>
          <w:lang w:val="en-GB"/>
        </w:rPr>
        <w:t>HRC</w:t>
      </w:r>
      <w:r w:rsidRPr="00B62920">
        <w:rPr>
          <w:color w:val="000000" w:themeColor="text1"/>
          <w:lang w:val="en-GB"/>
        </w:rPr>
        <w:t xml:space="preserve"> - United Nation Human Rights Committee</w:t>
      </w:r>
    </w:p>
    <w:p w:rsidR="00711F6E" w:rsidRPr="00B62920" w:rsidRDefault="00711F6E" w:rsidP="00711F6E">
      <w:pPr>
        <w:autoSpaceDE w:val="0"/>
        <w:jc w:val="both"/>
        <w:rPr>
          <w:color w:val="000000" w:themeColor="text1"/>
          <w:lang w:val="en-GB"/>
        </w:rPr>
      </w:pPr>
      <w:r w:rsidRPr="00B62920">
        <w:rPr>
          <w:b/>
          <w:color w:val="000000" w:themeColor="text1"/>
          <w:lang w:val="en-GB"/>
        </w:rPr>
        <w:t>IACtHR</w:t>
      </w:r>
      <w:r w:rsidRPr="00B62920">
        <w:rPr>
          <w:color w:val="000000" w:themeColor="text1"/>
          <w:lang w:val="en-GB"/>
        </w:rPr>
        <w:t>– Inter-American Court of Human Rights</w:t>
      </w:r>
    </w:p>
    <w:p w:rsidR="00711F6E" w:rsidRPr="00B62920" w:rsidRDefault="00711F6E" w:rsidP="00711F6E">
      <w:pPr>
        <w:autoSpaceDE w:val="0"/>
        <w:jc w:val="both"/>
        <w:rPr>
          <w:color w:val="000000" w:themeColor="text1"/>
          <w:lang w:val="en-GB"/>
        </w:rPr>
      </w:pPr>
      <w:r w:rsidRPr="00B62920">
        <w:rPr>
          <w:b/>
          <w:color w:val="000000" w:themeColor="text1"/>
          <w:lang w:val="en-GB"/>
        </w:rPr>
        <w:t>ICMP</w:t>
      </w:r>
      <w:r w:rsidRPr="00B62920">
        <w:rPr>
          <w:color w:val="000000" w:themeColor="text1"/>
          <w:lang w:val="en-GB"/>
        </w:rPr>
        <w:t xml:space="preserve"> - International Commission of Missing Persons</w:t>
      </w:r>
    </w:p>
    <w:p w:rsidR="00711F6E" w:rsidRPr="00B62920" w:rsidRDefault="00711F6E" w:rsidP="00711F6E">
      <w:pPr>
        <w:autoSpaceDE w:val="0"/>
        <w:jc w:val="both"/>
        <w:rPr>
          <w:color w:val="000000" w:themeColor="text1"/>
          <w:lang w:val="en-GB"/>
        </w:rPr>
      </w:pPr>
      <w:r w:rsidRPr="00B62920">
        <w:rPr>
          <w:b/>
          <w:color w:val="000000" w:themeColor="text1"/>
          <w:lang w:val="en-GB"/>
        </w:rPr>
        <w:t>ICRC</w:t>
      </w:r>
      <w:r w:rsidRPr="00B62920">
        <w:rPr>
          <w:color w:val="000000" w:themeColor="text1"/>
          <w:lang w:val="en-GB"/>
        </w:rPr>
        <w:t xml:space="preserve"> - International Committee of the Red Cross</w:t>
      </w:r>
    </w:p>
    <w:p w:rsidR="00711F6E" w:rsidRPr="00B62920" w:rsidRDefault="00711F6E" w:rsidP="00711F6E">
      <w:pPr>
        <w:autoSpaceDE w:val="0"/>
        <w:jc w:val="both"/>
        <w:rPr>
          <w:color w:val="000000" w:themeColor="text1"/>
          <w:lang w:val="en-GB"/>
        </w:rPr>
      </w:pPr>
      <w:r w:rsidRPr="00B62920">
        <w:rPr>
          <w:b/>
          <w:color w:val="000000" w:themeColor="text1"/>
          <w:lang w:val="en-GB"/>
        </w:rPr>
        <w:t xml:space="preserve">ICTY </w:t>
      </w:r>
      <w:r w:rsidRPr="00B62920">
        <w:rPr>
          <w:color w:val="000000" w:themeColor="text1"/>
          <w:lang w:val="en-GB"/>
        </w:rPr>
        <w:t>- International Criminal Tribunal for former Yugoslavia</w:t>
      </w:r>
    </w:p>
    <w:p w:rsidR="00711F6E" w:rsidRPr="00B62920" w:rsidRDefault="00711F6E" w:rsidP="00711F6E">
      <w:pPr>
        <w:autoSpaceDE w:val="0"/>
        <w:jc w:val="both"/>
        <w:rPr>
          <w:color w:val="000000" w:themeColor="text1"/>
          <w:lang w:val="en-GB"/>
        </w:rPr>
      </w:pPr>
      <w:r w:rsidRPr="00B62920">
        <w:rPr>
          <w:b/>
          <w:color w:val="000000" w:themeColor="text1"/>
          <w:lang w:val="en-GB"/>
        </w:rPr>
        <w:t>IP</w:t>
      </w:r>
      <w:r w:rsidRPr="00B62920">
        <w:rPr>
          <w:color w:val="000000" w:themeColor="text1"/>
          <w:lang w:val="en-GB"/>
        </w:rPr>
        <w:t xml:space="preserve"> - International Prosecutor</w:t>
      </w:r>
    </w:p>
    <w:p w:rsidR="00711F6E" w:rsidRPr="00B62920" w:rsidRDefault="00711F6E" w:rsidP="00711F6E">
      <w:pPr>
        <w:autoSpaceDE w:val="0"/>
        <w:jc w:val="both"/>
        <w:rPr>
          <w:color w:val="000000" w:themeColor="text1"/>
          <w:lang w:val="en-GB"/>
        </w:rPr>
      </w:pPr>
      <w:r w:rsidRPr="00B62920">
        <w:rPr>
          <w:b/>
          <w:color w:val="000000" w:themeColor="text1"/>
          <w:lang w:val="en-GB"/>
        </w:rPr>
        <w:t>KFOR</w:t>
      </w:r>
      <w:r w:rsidRPr="00B62920">
        <w:rPr>
          <w:color w:val="000000" w:themeColor="text1"/>
          <w:lang w:val="en-GB"/>
        </w:rPr>
        <w:t xml:space="preserve"> - International Security Force (commonly known as Kosovo Force)</w:t>
      </w:r>
    </w:p>
    <w:p w:rsidR="00711F6E" w:rsidRPr="00B62920" w:rsidRDefault="00711F6E" w:rsidP="00711F6E">
      <w:pPr>
        <w:autoSpaceDE w:val="0"/>
        <w:jc w:val="both"/>
        <w:rPr>
          <w:color w:val="000000" w:themeColor="text1"/>
          <w:lang w:val="en-GB"/>
        </w:rPr>
      </w:pPr>
      <w:r w:rsidRPr="00B62920">
        <w:rPr>
          <w:b/>
          <w:color w:val="000000" w:themeColor="text1"/>
          <w:lang w:val="en-GB"/>
        </w:rPr>
        <w:t>KLA</w:t>
      </w:r>
      <w:r w:rsidRPr="00B62920">
        <w:rPr>
          <w:color w:val="000000" w:themeColor="text1"/>
          <w:lang w:val="en-GB"/>
        </w:rPr>
        <w:t xml:space="preserve"> - Kosovo Liberation Army</w:t>
      </w:r>
    </w:p>
    <w:p w:rsidR="00711F6E" w:rsidRPr="00B62920" w:rsidRDefault="00711F6E" w:rsidP="00711F6E">
      <w:pPr>
        <w:autoSpaceDE w:val="0"/>
        <w:jc w:val="both"/>
        <w:rPr>
          <w:color w:val="000000" w:themeColor="text1"/>
          <w:lang w:val="en-GB"/>
        </w:rPr>
      </w:pPr>
      <w:r w:rsidRPr="00B62920">
        <w:rPr>
          <w:b/>
          <w:color w:val="000000" w:themeColor="text1"/>
          <w:lang w:val="en-GB"/>
        </w:rPr>
        <w:t xml:space="preserve">MPU </w:t>
      </w:r>
      <w:r w:rsidRPr="00B62920">
        <w:rPr>
          <w:color w:val="000000" w:themeColor="text1"/>
          <w:lang w:val="en-GB"/>
        </w:rPr>
        <w:t>- Missing Persons Unit</w:t>
      </w:r>
    </w:p>
    <w:p w:rsidR="00711F6E" w:rsidRPr="00B62920" w:rsidRDefault="00711F6E" w:rsidP="00711F6E">
      <w:pPr>
        <w:autoSpaceDE w:val="0"/>
        <w:jc w:val="both"/>
        <w:rPr>
          <w:color w:val="000000" w:themeColor="text1"/>
          <w:lang w:val="en-GB"/>
        </w:rPr>
      </w:pPr>
      <w:r w:rsidRPr="00B62920">
        <w:rPr>
          <w:b/>
          <w:color w:val="000000" w:themeColor="text1"/>
          <w:lang w:val="en-GB"/>
        </w:rPr>
        <w:t>NATO</w:t>
      </w:r>
      <w:r w:rsidRPr="00B62920">
        <w:rPr>
          <w:color w:val="000000" w:themeColor="text1"/>
          <w:lang w:val="en-GB"/>
        </w:rPr>
        <w:t xml:space="preserve"> - North Atlantic Treaty Organization </w:t>
      </w:r>
    </w:p>
    <w:p w:rsidR="00711F6E" w:rsidRPr="00B62920" w:rsidRDefault="00711F6E" w:rsidP="00711F6E">
      <w:pPr>
        <w:autoSpaceDE w:val="0"/>
        <w:jc w:val="both"/>
        <w:rPr>
          <w:color w:val="000000" w:themeColor="text1"/>
          <w:lang w:val="en-GB"/>
        </w:rPr>
      </w:pPr>
      <w:r w:rsidRPr="00B62920">
        <w:rPr>
          <w:b/>
          <w:color w:val="000000" w:themeColor="text1"/>
          <w:lang w:val="en-GB"/>
        </w:rPr>
        <w:t>OMPF</w:t>
      </w:r>
      <w:r w:rsidRPr="00B62920">
        <w:rPr>
          <w:color w:val="000000" w:themeColor="text1"/>
          <w:lang w:val="en-GB"/>
        </w:rPr>
        <w:t xml:space="preserve"> - Office on Missing Persons and Forensics</w:t>
      </w:r>
    </w:p>
    <w:p w:rsidR="00711F6E" w:rsidRPr="00B62920" w:rsidRDefault="00711F6E" w:rsidP="00711F6E">
      <w:pPr>
        <w:autoSpaceDE w:val="0"/>
        <w:jc w:val="both"/>
        <w:rPr>
          <w:color w:val="000000" w:themeColor="text1"/>
          <w:lang w:val="en-GB"/>
        </w:rPr>
      </w:pPr>
      <w:r w:rsidRPr="00B62920">
        <w:rPr>
          <w:b/>
          <w:color w:val="000000" w:themeColor="text1"/>
          <w:lang w:val="en-GB"/>
        </w:rPr>
        <w:t>OSCE</w:t>
      </w:r>
      <w:r w:rsidRPr="00B62920">
        <w:rPr>
          <w:color w:val="000000" w:themeColor="text1"/>
          <w:lang w:val="en-GB"/>
        </w:rPr>
        <w:t xml:space="preserve"> - Organization for Security and Cooperation in Europe</w:t>
      </w:r>
    </w:p>
    <w:p w:rsidR="00711F6E" w:rsidRPr="00B62920" w:rsidRDefault="00711F6E" w:rsidP="00711F6E">
      <w:pPr>
        <w:autoSpaceDE w:val="0"/>
        <w:jc w:val="both"/>
        <w:rPr>
          <w:color w:val="000000" w:themeColor="text1"/>
          <w:lang w:val="en-GB"/>
        </w:rPr>
      </w:pPr>
      <w:r w:rsidRPr="00B62920">
        <w:rPr>
          <w:b/>
          <w:color w:val="000000" w:themeColor="text1"/>
          <w:lang w:val="en-GB"/>
        </w:rPr>
        <w:t>RIU</w:t>
      </w:r>
      <w:r w:rsidRPr="00B62920">
        <w:rPr>
          <w:color w:val="000000" w:themeColor="text1"/>
          <w:lang w:val="en-GB"/>
        </w:rPr>
        <w:t xml:space="preserve"> - Regional Investigation Unit</w:t>
      </w:r>
    </w:p>
    <w:p w:rsidR="00711F6E" w:rsidRPr="00B62920" w:rsidRDefault="00711F6E" w:rsidP="00711F6E">
      <w:pPr>
        <w:autoSpaceDE w:val="0"/>
        <w:jc w:val="both"/>
        <w:rPr>
          <w:color w:val="000000" w:themeColor="text1"/>
          <w:lang w:val="en-GB"/>
        </w:rPr>
      </w:pPr>
      <w:r w:rsidRPr="00B62920">
        <w:rPr>
          <w:b/>
          <w:color w:val="000000" w:themeColor="text1"/>
          <w:lang w:val="en-GB"/>
        </w:rPr>
        <w:t>SRSG</w:t>
      </w:r>
      <w:r w:rsidRPr="00B62920">
        <w:rPr>
          <w:color w:val="000000" w:themeColor="text1"/>
          <w:lang w:val="en-GB"/>
        </w:rPr>
        <w:t xml:space="preserve"> - Special Representative of the Secretary-General </w:t>
      </w:r>
    </w:p>
    <w:p w:rsidR="00711F6E" w:rsidRPr="00B62920" w:rsidRDefault="00711F6E" w:rsidP="00711F6E">
      <w:pPr>
        <w:autoSpaceDE w:val="0"/>
        <w:jc w:val="both"/>
        <w:rPr>
          <w:color w:val="000000" w:themeColor="text1"/>
          <w:lang w:val="en-GB"/>
        </w:rPr>
      </w:pPr>
      <w:r w:rsidRPr="00B62920">
        <w:rPr>
          <w:b/>
          <w:color w:val="000000" w:themeColor="text1"/>
          <w:lang w:val="en-GB"/>
        </w:rPr>
        <w:t>UN</w:t>
      </w:r>
      <w:r w:rsidRPr="00B62920">
        <w:rPr>
          <w:color w:val="000000" w:themeColor="text1"/>
          <w:lang w:val="en-GB"/>
        </w:rPr>
        <w:t xml:space="preserve"> - United Nations</w:t>
      </w:r>
    </w:p>
    <w:p w:rsidR="00711F6E" w:rsidRPr="00B62920" w:rsidRDefault="00711F6E" w:rsidP="00711F6E">
      <w:pPr>
        <w:autoSpaceDE w:val="0"/>
        <w:jc w:val="both"/>
        <w:rPr>
          <w:color w:val="000000" w:themeColor="text1"/>
          <w:lang w:val="en-GB"/>
        </w:rPr>
      </w:pPr>
      <w:r w:rsidRPr="00B62920">
        <w:rPr>
          <w:b/>
          <w:color w:val="000000" w:themeColor="text1"/>
          <w:lang w:val="en-GB"/>
        </w:rPr>
        <w:t xml:space="preserve">UNHCR </w:t>
      </w:r>
      <w:r w:rsidRPr="00B62920">
        <w:rPr>
          <w:color w:val="000000" w:themeColor="text1"/>
          <w:lang w:val="en-GB"/>
        </w:rPr>
        <w:t>- United Nations High Commissioner for Refugees</w:t>
      </w:r>
    </w:p>
    <w:p w:rsidR="00711F6E" w:rsidRPr="00B62920" w:rsidRDefault="00711F6E" w:rsidP="00711F6E">
      <w:pPr>
        <w:autoSpaceDE w:val="0"/>
        <w:jc w:val="both"/>
        <w:rPr>
          <w:color w:val="000000" w:themeColor="text1"/>
          <w:lang w:val="en-GB"/>
        </w:rPr>
      </w:pPr>
      <w:r w:rsidRPr="00B62920">
        <w:rPr>
          <w:b/>
          <w:color w:val="000000" w:themeColor="text1"/>
          <w:lang w:val="en-GB"/>
        </w:rPr>
        <w:t>UNMIK</w:t>
      </w:r>
      <w:r w:rsidRPr="00B62920">
        <w:rPr>
          <w:color w:val="000000" w:themeColor="text1"/>
          <w:lang w:val="en-GB"/>
        </w:rPr>
        <w:t xml:space="preserve"> - United Nations Interim Administration Mission in Kosovo </w:t>
      </w:r>
    </w:p>
    <w:p w:rsidR="00711F6E" w:rsidRPr="00B62920" w:rsidRDefault="00711F6E" w:rsidP="00711F6E">
      <w:pPr>
        <w:autoSpaceDE w:val="0"/>
        <w:jc w:val="both"/>
        <w:rPr>
          <w:color w:val="000000" w:themeColor="text1"/>
          <w:lang w:val="en-GB"/>
        </w:rPr>
      </w:pPr>
      <w:r w:rsidRPr="00B62920">
        <w:rPr>
          <w:b/>
          <w:color w:val="000000" w:themeColor="text1"/>
          <w:lang w:val="en-GB"/>
        </w:rPr>
        <w:t>VRIC</w:t>
      </w:r>
      <w:r w:rsidRPr="00B62920">
        <w:rPr>
          <w:color w:val="000000" w:themeColor="text1"/>
          <w:lang w:val="en-GB"/>
        </w:rPr>
        <w:t xml:space="preserve"> - Victim Recovery and Identification Commission</w:t>
      </w:r>
    </w:p>
    <w:p w:rsidR="00711F6E" w:rsidRPr="0043528A" w:rsidRDefault="00711F6E" w:rsidP="00711F6E">
      <w:pPr>
        <w:autoSpaceDE w:val="0"/>
        <w:jc w:val="both"/>
        <w:rPr>
          <w:color w:val="000000" w:themeColor="text1"/>
          <w:lang w:val="en-GB"/>
        </w:rPr>
      </w:pPr>
      <w:r w:rsidRPr="00B62920">
        <w:rPr>
          <w:b/>
          <w:color w:val="000000" w:themeColor="text1"/>
          <w:lang w:val="en-GB"/>
        </w:rPr>
        <w:t xml:space="preserve">WCIU </w:t>
      </w:r>
      <w:r w:rsidRPr="00B62920">
        <w:rPr>
          <w:color w:val="000000" w:themeColor="text1"/>
          <w:lang w:val="en-GB"/>
        </w:rPr>
        <w:t>- War Crimes Investigation Unit</w:t>
      </w:r>
    </w:p>
    <w:p w:rsidR="00546DB5" w:rsidRPr="001F7985" w:rsidRDefault="00546DB5" w:rsidP="00711F6E">
      <w:pPr>
        <w:pStyle w:val="ListParagraph"/>
        <w:ind w:left="0"/>
        <w:rPr>
          <w:lang w:val="en-GB"/>
        </w:rPr>
      </w:pPr>
    </w:p>
    <w:sectPr w:rsidR="00546DB5" w:rsidRPr="001F7985" w:rsidSect="00CA379B">
      <w:head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E51" w:rsidRDefault="00B52E51">
      <w:r>
        <w:separator/>
      </w:r>
    </w:p>
  </w:endnote>
  <w:endnote w:type="continuationSeparator" w:id="0">
    <w:p w:rsidR="00B52E51" w:rsidRDefault="00B5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GLHH+TimesNewRoman">
    <w:altName w:val="Times New Roman"/>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E51" w:rsidRDefault="00B52E51">
      <w:r>
        <w:separator/>
      </w:r>
    </w:p>
  </w:footnote>
  <w:footnote w:type="continuationSeparator" w:id="0">
    <w:p w:rsidR="00B52E51" w:rsidRDefault="00B52E51">
      <w:r>
        <w:continuationSeparator/>
      </w:r>
    </w:p>
  </w:footnote>
  <w:footnote w:id="1">
    <w:p w:rsidR="00B52E51" w:rsidRPr="000C1973" w:rsidRDefault="00B52E51" w:rsidP="00022E69">
      <w:pPr>
        <w:pStyle w:val="FootnoteText"/>
        <w:rPr>
          <w:lang w:val="en-US"/>
        </w:rPr>
      </w:pPr>
      <w:r w:rsidRPr="000C1973">
        <w:rPr>
          <w:rStyle w:val="FootnoteReference"/>
          <w:sz w:val="20"/>
        </w:rPr>
        <w:footnoteRef/>
      </w:r>
      <w:r>
        <w:rPr>
          <w:rFonts w:ascii="Times New Roman" w:hAnsi="Times New Roman"/>
          <w:sz w:val="20"/>
        </w:rPr>
        <w:t xml:space="preserve"> </w:t>
      </w:r>
      <w:r w:rsidRPr="00680EF0">
        <w:rPr>
          <w:rFonts w:ascii="Times New Roman" w:hAnsi="Times New Roman"/>
          <w:sz w:val="20"/>
        </w:rPr>
        <w:t>A list of abbreviations and acronyms contained in the text can be found in the attached Annex.</w:t>
      </w:r>
    </w:p>
  </w:footnote>
  <w:footnote w:id="2">
    <w:p w:rsidR="00B52E51" w:rsidRPr="001732BF" w:rsidRDefault="00B52E51" w:rsidP="00680EF0">
      <w:pPr>
        <w:pStyle w:val="FootnoteText"/>
        <w:jc w:val="both"/>
        <w:rPr>
          <w:rFonts w:ascii="Times New Roman" w:hAnsi="Times New Roman"/>
          <w:sz w:val="20"/>
        </w:rPr>
      </w:pPr>
      <w:r w:rsidRPr="001732BF">
        <w:rPr>
          <w:rStyle w:val="FootnoteReference"/>
          <w:rFonts w:ascii="Times New Roman" w:hAnsi="Times New Roman"/>
          <w:sz w:val="20"/>
        </w:rPr>
        <w:footnoteRef/>
      </w:r>
      <w:r>
        <w:rPr>
          <w:rFonts w:ascii="Times New Roman" w:hAnsi="Times New Roman"/>
          <w:sz w:val="20"/>
        </w:rPr>
        <w:t xml:space="preserve"> </w:t>
      </w:r>
      <w:r w:rsidRPr="001732BF">
        <w:rPr>
          <w:rFonts w:ascii="Times New Roman" w:hAnsi="Times New Roman"/>
          <w:sz w:val="20"/>
        </w:rPr>
        <w:t>The references drawn upon by the Panel in setting out this general background include: OSCE, “As Seen, as Told”, Vol. 1 (October 1998 – June 1999) and Vol. II (14 June – 31 October 1999); quarterly reports of the UN Secretary-General on the United Nations Interim Administration in Kosovo; UNMIK Police Annual Reports (2000, 2001); Humanitarian Law Centre, “Abductions and Disappearances of non-Albanians in Kosovo” (2001); Humanitarian Law Centre, “Kosovo Memory Book” (htpp://www.kosovomemorybook.org); UNMIK Office on Missing Persons and Forensics, Activity Report 2002-2004; European Court of Human Rights,</w:t>
      </w:r>
      <w:r w:rsidRPr="001732BF">
        <w:rPr>
          <w:rFonts w:ascii="Times New Roman" w:hAnsi="Times New Roman"/>
          <w:i/>
          <w:sz w:val="20"/>
        </w:rPr>
        <w:t xml:space="preserve"> Behrami and Behrami v. France</w:t>
      </w:r>
      <w:r w:rsidRPr="001732BF">
        <w:rPr>
          <w:rFonts w:ascii="Times New Roman" w:hAnsi="Times New Roman"/>
          <w:sz w:val="20"/>
        </w:rPr>
        <w:t xml:space="preserve"> and </w:t>
      </w:r>
      <w:r w:rsidRPr="001732BF">
        <w:rPr>
          <w:rFonts w:ascii="Times New Roman" w:hAnsi="Times New Roman"/>
          <w:i/>
          <w:sz w:val="20"/>
        </w:rPr>
        <w:t>Saramati v. France, Germany and Norway</w:t>
      </w:r>
      <w:r w:rsidRPr="001732BF">
        <w:rPr>
          <w:rFonts w:ascii="Times New Roman" w:hAnsi="Times New Roman"/>
          <w:sz w:val="20"/>
        </w:rPr>
        <w:t xml:space="preserve">, nos. </w:t>
      </w:r>
      <w:r w:rsidRPr="001732BF">
        <w:rPr>
          <w:rStyle w:val="sb8d990e2"/>
          <w:rFonts w:ascii="Times New Roman" w:hAnsi="Times New Roman"/>
          <w:sz w:val="20"/>
        </w:rPr>
        <w:t>71412/01 and</w:t>
      </w:r>
      <w:r w:rsidRPr="001732BF">
        <w:rPr>
          <w:rFonts w:ascii="Times New Roman" w:hAnsi="Times New Roman"/>
          <w:sz w:val="20"/>
        </w:rPr>
        <w:t xml:space="preserve"> </w:t>
      </w:r>
      <w:r w:rsidRPr="001732BF">
        <w:rPr>
          <w:rStyle w:val="sb8d990e2"/>
          <w:rFonts w:ascii="Times New Roman" w:hAnsi="Times New Roman"/>
          <w:sz w:val="20"/>
        </w:rPr>
        <w:t xml:space="preserve">78166/01, </w:t>
      </w:r>
      <w:r w:rsidRPr="001732BF">
        <w:rPr>
          <w:rFonts w:ascii="Times New Roman" w:hAnsi="Times New Roman"/>
          <w:sz w:val="20"/>
        </w:rPr>
        <w:t xml:space="preserve">decision of 2 May 2007; International Commission on Missing Persons, “The Situation in Kosovo: a Stock Taking” (2010); data issued by the United Nations High Commissioner for Refugees, (available at </w:t>
      </w:r>
      <w:hyperlink r:id="rId1" w:history="1">
        <w:r w:rsidRPr="001732BF">
          <w:rPr>
            <w:rStyle w:val="Hyperlink"/>
            <w:rFonts w:ascii="Times New Roman" w:hAnsi="Times New Roman"/>
            <w:color w:val="auto"/>
            <w:sz w:val="20"/>
          </w:rPr>
          <w:t>www.unhchr.org</w:t>
        </w:r>
      </w:hyperlink>
      <w:r w:rsidRPr="001732BF">
        <w:rPr>
          <w:rFonts w:ascii="Times New Roman" w:hAnsi="Times New Roman"/>
          <w:sz w:val="20"/>
        </w:rPr>
        <w:t xml:space="preserve">) and by the International Committee of the Red Cross (available at </w:t>
      </w:r>
      <w:hyperlink r:id="rId2" w:history="1">
        <w:r w:rsidRPr="001732BF">
          <w:rPr>
            <w:rStyle w:val="Hyperlink"/>
            <w:rFonts w:ascii="Times New Roman" w:hAnsi="Times New Roman"/>
            <w:color w:val="auto"/>
            <w:sz w:val="20"/>
          </w:rPr>
          <w:t>http://familylinks.icrc.org/kosovo/en</w:t>
        </w:r>
      </w:hyperlink>
      <w:r w:rsidRPr="001732BF">
        <w:rPr>
          <w:rFonts w:ascii="Times New Roman" w:hAnsi="Times New Roman"/>
          <w:sz w:val="20"/>
        </w:rPr>
        <w:t>).</w:t>
      </w:r>
    </w:p>
  </w:footnote>
  <w:footnote w:id="3">
    <w:p w:rsidR="00B52E51" w:rsidRPr="00AD7F08" w:rsidRDefault="00B52E51" w:rsidP="003A4BA6">
      <w:pPr>
        <w:pStyle w:val="FootnoteText"/>
        <w:jc w:val="both"/>
        <w:rPr>
          <w:rFonts w:ascii="Times New Roman" w:hAnsi="Times New Roman"/>
          <w:sz w:val="20"/>
          <w:lang w:val="en-US"/>
        </w:rPr>
      </w:pPr>
      <w:r w:rsidRPr="0020323B">
        <w:rPr>
          <w:rStyle w:val="FootnoteReference"/>
          <w:rFonts w:ascii="Times New Roman" w:hAnsi="Times New Roman"/>
          <w:sz w:val="20"/>
        </w:rPr>
        <w:footnoteRef/>
      </w:r>
      <w:r>
        <w:t xml:space="preserve"> </w:t>
      </w:r>
      <w:r w:rsidRPr="00AD7F08">
        <w:rPr>
          <w:rFonts w:ascii="Times New Roman" w:hAnsi="Times New Roman"/>
          <w:sz w:val="20"/>
        </w:rPr>
        <w:t>The ICRC database is available at: http://familylinks.icrc.org/kosovo/en/pages/sea</w:t>
      </w:r>
      <w:r>
        <w:rPr>
          <w:rFonts w:ascii="Times New Roman" w:hAnsi="Times New Roman"/>
          <w:sz w:val="20"/>
        </w:rPr>
        <w:t>rch-persons.aspx (accessed on 10</w:t>
      </w:r>
      <w:r w:rsidRPr="00AD7F08">
        <w:rPr>
          <w:rFonts w:ascii="Times New Roman" w:hAnsi="Times New Roman"/>
          <w:sz w:val="20"/>
        </w:rPr>
        <w:t xml:space="preserve"> </w:t>
      </w:r>
      <w:r>
        <w:rPr>
          <w:rFonts w:ascii="Times New Roman" w:hAnsi="Times New Roman"/>
          <w:sz w:val="20"/>
        </w:rPr>
        <w:t xml:space="preserve">June </w:t>
      </w:r>
      <w:r w:rsidRPr="00AD7F08">
        <w:rPr>
          <w:rFonts w:ascii="Times New Roman" w:hAnsi="Times New Roman"/>
          <w:sz w:val="20"/>
        </w:rPr>
        <w:t>2015).</w:t>
      </w:r>
    </w:p>
  </w:footnote>
  <w:footnote w:id="4">
    <w:p w:rsidR="00B52E51" w:rsidRPr="00B843EE" w:rsidRDefault="00B52E51" w:rsidP="007D0DD0">
      <w:pPr>
        <w:pStyle w:val="FootnoteText"/>
        <w:jc w:val="both"/>
        <w:rPr>
          <w:rFonts w:ascii="Times New Roman" w:hAnsi="Times New Roman"/>
          <w:sz w:val="20"/>
          <w:lang w:val="en-US"/>
        </w:rPr>
      </w:pPr>
      <w:r w:rsidRPr="00B843EE">
        <w:rPr>
          <w:rStyle w:val="FootnoteReference"/>
          <w:rFonts w:ascii="Times New Roman" w:hAnsi="Times New Roman"/>
          <w:sz w:val="20"/>
        </w:rPr>
        <w:footnoteRef/>
      </w:r>
      <w:r w:rsidRPr="00B843EE">
        <w:rPr>
          <w:rFonts w:ascii="Times New Roman" w:hAnsi="Times New Roman"/>
          <w:sz w:val="20"/>
        </w:rPr>
        <w:t xml:space="preserve"> The OMPF database is not open to public. The Panel accessed i</w:t>
      </w:r>
      <w:r>
        <w:rPr>
          <w:rFonts w:ascii="Times New Roman" w:hAnsi="Times New Roman"/>
          <w:sz w:val="20"/>
        </w:rPr>
        <w:t xml:space="preserve">t with regard to this case on 10 June </w:t>
      </w:r>
      <w:r w:rsidRPr="00B843EE">
        <w:rPr>
          <w:rFonts w:ascii="Times New Roman" w:hAnsi="Times New Roman"/>
          <w:sz w:val="20"/>
        </w:rPr>
        <w:t>2015.</w:t>
      </w:r>
    </w:p>
  </w:footnote>
  <w:footnote w:id="5">
    <w:p w:rsidR="00B52E51" w:rsidRPr="000F55DA" w:rsidRDefault="00B52E51" w:rsidP="0054256C">
      <w:pPr>
        <w:pStyle w:val="FootnoteText"/>
        <w:jc w:val="both"/>
        <w:rPr>
          <w:rFonts w:ascii="Times New Roman" w:hAnsi="Times New Roman"/>
          <w:sz w:val="20"/>
        </w:rPr>
      </w:pPr>
      <w:r w:rsidRPr="000F55DA">
        <w:rPr>
          <w:rStyle w:val="FootnoteReference"/>
          <w:rFonts w:ascii="Times New Roman" w:hAnsi="Times New Roman"/>
          <w:sz w:val="20"/>
        </w:rPr>
        <w:footnoteRef/>
      </w:r>
      <w:r>
        <w:rPr>
          <w:rFonts w:ascii="Times New Roman" w:hAnsi="Times New Roman"/>
          <w:sz w:val="20"/>
        </w:rPr>
        <w:t xml:space="preserve"> </w:t>
      </w:r>
      <w:r w:rsidRPr="000F55DA">
        <w:rPr>
          <w:rFonts w:ascii="Times New Roman" w:hAnsi="Times New Roman"/>
          <w:sz w:val="20"/>
        </w:rPr>
        <w:t xml:space="preserve">The ICMP database is available at:  </w:t>
      </w:r>
      <w:hyperlink r:id="rId3" w:history="1">
        <w:r w:rsidRPr="000F55DA">
          <w:rPr>
            <w:rStyle w:val="Hyperlink"/>
            <w:rFonts w:ascii="Times New Roman" w:hAnsi="Times New Roman"/>
            <w:color w:val="auto"/>
            <w:sz w:val="20"/>
          </w:rPr>
          <w:t>http://www.ic-mp.org/fdmsweb/index.php?w=mp_details&amp;l=en</w:t>
        </w:r>
      </w:hyperlink>
      <w:r w:rsidRPr="000F55DA">
        <w:rPr>
          <w:rFonts w:ascii="Times New Roman" w:hAnsi="Times New Roman"/>
          <w:sz w:val="20"/>
        </w:rPr>
        <w:t xml:space="preserve"> (accessed on </w:t>
      </w:r>
      <w:r>
        <w:rPr>
          <w:rFonts w:ascii="Times New Roman" w:hAnsi="Times New Roman"/>
          <w:sz w:val="20"/>
        </w:rPr>
        <w:t>10 June 2015</w:t>
      </w:r>
      <w:r w:rsidRPr="000F55DA">
        <w:rPr>
          <w:rFonts w:ascii="Times New Roman" w:hAnsi="Times New Roman"/>
          <w:sz w:val="20"/>
        </w:rPr>
        <w:t>).</w:t>
      </w:r>
    </w:p>
  </w:footnote>
  <w:footnote w:id="6">
    <w:p w:rsidR="00B52E51" w:rsidRPr="006B6ACA" w:rsidRDefault="00B52E51" w:rsidP="00C955A0">
      <w:pPr>
        <w:pStyle w:val="FootnoteText"/>
        <w:jc w:val="both"/>
        <w:rPr>
          <w:rFonts w:ascii="Times New Roman" w:hAnsi="Times New Roman"/>
          <w:sz w:val="20"/>
        </w:rPr>
      </w:pPr>
      <w:r>
        <w:rPr>
          <w:rStyle w:val="FootnoteReference"/>
        </w:rPr>
        <w:footnoteRef/>
      </w:r>
      <w:r>
        <w:t xml:space="preserve"> </w:t>
      </w:r>
      <w:r>
        <w:rPr>
          <w:rFonts w:ascii="Times New Roman" w:hAnsi="Times New Roman"/>
          <w:sz w:val="20"/>
        </w:rPr>
        <w:t xml:space="preserve">Similar text can be found in: </w:t>
      </w:r>
      <w:r w:rsidRPr="009E4AEC">
        <w:rPr>
          <w:rFonts w:ascii="Times New Roman" w:hAnsi="Times New Roman"/>
          <w:i/>
          <w:sz w:val="20"/>
        </w:rPr>
        <w:t>Abductions and Disappearances of Non-Albanians in Kosovo, 24 March 1999 – 31 December 2000</w:t>
      </w:r>
      <w:r>
        <w:rPr>
          <w:rFonts w:ascii="Times New Roman" w:hAnsi="Times New Roman"/>
          <w:sz w:val="20"/>
        </w:rPr>
        <w:t>, HLC, p.p. 249-250</w:t>
      </w:r>
      <w:r w:rsidRPr="00B12A8F">
        <w:rPr>
          <w:rFonts w:ascii="Times New Roman" w:hAnsi="Times New Roman"/>
          <w:sz w:val="20"/>
        </w:rPr>
        <w:t xml:space="preserve"> // HLC website [electronic source] - </w:t>
      </w:r>
      <w:r w:rsidRPr="00C02D0C">
        <w:rPr>
          <w:rFonts w:ascii="Times New Roman" w:hAnsi="Times New Roman"/>
          <w:sz w:val="20"/>
        </w:rPr>
        <w:t>www.hlc-rdc.org/wp-content/uploads/2013/02/KO-Abductions-and-disappearances-of-non-Albanians-in-Kosovo-1.pdf</w:t>
      </w:r>
      <w:r>
        <w:rPr>
          <w:rStyle w:val="Hyperlink"/>
          <w:rFonts w:ascii="Times New Roman" w:hAnsi="Times New Roman"/>
          <w:color w:val="auto"/>
          <w:sz w:val="20"/>
          <w:u w:val="none"/>
        </w:rPr>
        <w:t xml:space="preserve"> </w:t>
      </w:r>
      <w:r w:rsidRPr="002C6120">
        <w:rPr>
          <w:rFonts w:ascii="Times New Roman" w:hAnsi="Times New Roman"/>
          <w:sz w:val="20"/>
        </w:rPr>
        <w:t xml:space="preserve">(accessed </w:t>
      </w:r>
      <w:r w:rsidRPr="00D7387F">
        <w:rPr>
          <w:rFonts w:ascii="Times New Roman" w:hAnsi="Times New Roman"/>
          <w:sz w:val="20"/>
        </w:rPr>
        <w:t xml:space="preserve">on </w:t>
      </w:r>
      <w:r>
        <w:rPr>
          <w:rFonts w:ascii="Times New Roman" w:hAnsi="Times New Roman"/>
          <w:sz w:val="20"/>
        </w:rPr>
        <w:t>15</w:t>
      </w:r>
      <w:r w:rsidRPr="00D7387F">
        <w:rPr>
          <w:rFonts w:ascii="Times New Roman" w:hAnsi="Times New Roman"/>
          <w:sz w:val="20"/>
        </w:rPr>
        <w:t xml:space="preserve"> </w:t>
      </w:r>
      <w:r>
        <w:rPr>
          <w:rFonts w:ascii="Times New Roman" w:hAnsi="Times New Roman"/>
          <w:sz w:val="20"/>
        </w:rPr>
        <w:t>June</w:t>
      </w:r>
      <w:r w:rsidRPr="00D7387F">
        <w:rPr>
          <w:rFonts w:ascii="Times New Roman" w:hAnsi="Times New Roman"/>
          <w:sz w:val="20"/>
        </w:rPr>
        <w:t xml:space="preserve"> 2015).</w:t>
      </w:r>
    </w:p>
    <w:p w:rsidR="00B52E51" w:rsidRPr="00243A63" w:rsidRDefault="00B52E51" w:rsidP="00C955A0">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E51" w:rsidRPr="000722CE" w:rsidRDefault="00B52E51">
    <w:pPr>
      <w:pStyle w:val="Header"/>
      <w:jc w:val="right"/>
      <w:rPr>
        <w:sz w:val="20"/>
        <w:szCs w:val="20"/>
      </w:rPr>
    </w:pPr>
    <w:r w:rsidRPr="000722CE">
      <w:rPr>
        <w:sz w:val="20"/>
        <w:szCs w:val="20"/>
      </w:rPr>
      <w:fldChar w:fldCharType="begin"/>
    </w:r>
    <w:r w:rsidRPr="000722CE">
      <w:rPr>
        <w:sz w:val="20"/>
        <w:szCs w:val="20"/>
      </w:rPr>
      <w:instrText xml:space="preserve"> PAGE   \* MERGEFORMAT </w:instrText>
    </w:r>
    <w:r w:rsidRPr="000722CE">
      <w:rPr>
        <w:sz w:val="20"/>
        <w:szCs w:val="20"/>
      </w:rPr>
      <w:fldChar w:fldCharType="separate"/>
    </w:r>
    <w:r w:rsidR="00B34A4C">
      <w:rPr>
        <w:noProof/>
        <w:sz w:val="20"/>
        <w:szCs w:val="20"/>
      </w:rPr>
      <w:t>34</w:t>
    </w:r>
    <w:r w:rsidRPr="000722CE">
      <w:rPr>
        <w:sz w:val="20"/>
        <w:szCs w:val="20"/>
      </w:rPr>
      <w:fldChar w:fldCharType="end"/>
    </w:r>
  </w:p>
  <w:p w:rsidR="00B52E51" w:rsidRDefault="00B52E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0F5D"/>
    <w:multiLevelType w:val="hybridMultilevel"/>
    <w:tmpl w:val="28440EA8"/>
    <w:lvl w:ilvl="0" w:tplc="93CA55D2">
      <w:start w:val="1"/>
      <w:numFmt w:val="decimal"/>
      <w:lvlText w:val="%1."/>
      <w:lvlJc w:val="left"/>
      <w:pPr>
        <w:tabs>
          <w:tab w:val="num" w:pos="360"/>
        </w:tabs>
        <w:ind w:left="360" w:hanging="360"/>
      </w:pPr>
      <w:rPr>
        <w:rFonts w:hint="default"/>
        <w:b w:val="0"/>
        <w:i w:val="0"/>
        <w:color w:val="auto"/>
        <w:sz w:val="24"/>
        <w:szCs w:val="24"/>
      </w:rPr>
    </w:lvl>
    <w:lvl w:ilvl="1" w:tplc="04090019">
      <w:start w:val="1"/>
      <w:numFmt w:val="lowerLetter"/>
      <w:lvlText w:val="%2."/>
      <w:lvlJc w:val="left"/>
      <w:pPr>
        <w:tabs>
          <w:tab w:val="num" w:pos="1440"/>
        </w:tabs>
        <w:ind w:left="1440" w:hanging="360"/>
      </w:pPr>
    </w:lvl>
    <w:lvl w:ilvl="2" w:tplc="9B628E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183272"/>
    <w:multiLevelType w:val="hybridMultilevel"/>
    <w:tmpl w:val="B10E1384"/>
    <w:lvl w:ilvl="0" w:tplc="15FCBA12">
      <w:start w:val="1"/>
      <w:numFmt w:val="decimal"/>
      <w:lvlText w:val="%1."/>
      <w:lvlJc w:val="left"/>
      <w:pPr>
        <w:ind w:left="360" w:hanging="360"/>
      </w:pPr>
      <w:rPr>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8C795E"/>
    <w:multiLevelType w:val="hybridMultilevel"/>
    <w:tmpl w:val="13EEFA5A"/>
    <w:lvl w:ilvl="0" w:tplc="862602C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B2C17"/>
    <w:multiLevelType w:val="hybridMultilevel"/>
    <w:tmpl w:val="3DFE97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F322E3"/>
    <w:multiLevelType w:val="hybridMultilevel"/>
    <w:tmpl w:val="D2746B84"/>
    <w:lvl w:ilvl="0" w:tplc="8DD6B6EA">
      <w:start w:val="149"/>
      <w:numFmt w:val="decimal"/>
      <w:lvlText w:val="%1."/>
      <w:lvlJc w:val="left"/>
      <w:pPr>
        <w:ind w:left="846" w:hanging="420"/>
      </w:pPr>
      <w:rPr>
        <w:rFonts w:cs="Times New Roman"/>
      </w:rPr>
    </w:lvl>
    <w:lvl w:ilvl="1" w:tplc="08090019">
      <w:start w:val="1"/>
      <w:numFmt w:val="lowerLetter"/>
      <w:lvlText w:val="%2."/>
      <w:lvlJc w:val="left"/>
      <w:pPr>
        <w:ind w:left="1506" w:hanging="360"/>
      </w:pPr>
      <w:rPr>
        <w:rFonts w:cs="Times New Roman"/>
      </w:rPr>
    </w:lvl>
    <w:lvl w:ilvl="2" w:tplc="0809001B">
      <w:start w:val="1"/>
      <w:numFmt w:val="lowerRoman"/>
      <w:lvlText w:val="%3."/>
      <w:lvlJc w:val="right"/>
      <w:pPr>
        <w:ind w:left="2226" w:hanging="180"/>
      </w:pPr>
      <w:rPr>
        <w:rFonts w:cs="Times New Roman"/>
      </w:rPr>
    </w:lvl>
    <w:lvl w:ilvl="3" w:tplc="0809000F">
      <w:start w:val="1"/>
      <w:numFmt w:val="decimal"/>
      <w:lvlText w:val="%4."/>
      <w:lvlJc w:val="left"/>
      <w:pPr>
        <w:ind w:left="2946" w:hanging="360"/>
      </w:pPr>
      <w:rPr>
        <w:rFonts w:cs="Times New Roman"/>
      </w:rPr>
    </w:lvl>
    <w:lvl w:ilvl="4" w:tplc="08090019">
      <w:start w:val="1"/>
      <w:numFmt w:val="lowerLetter"/>
      <w:lvlText w:val="%5."/>
      <w:lvlJc w:val="left"/>
      <w:pPr>
        <w:ind w:left="3666" w:hanging="360"/>
      </w:pPr>
      <w:rPr>
        <w:rFonts w:cs="Times New Roman"/>
      </w:rPr>
    </w:lvl>
    <w:lvl w:ilvl="5" w:tplc="0809001B">
      <w:start w:val="1"/>
      <w:numFmt w:val="lowerRoman"/>
      <w:lvlText w:val="%6."/>
      <w:lvlJc w:val="right"/>
      <w:pPr>
        <w:ind w:left="4386" w:hanging="180"/>
      </w:pPr>
      <w:rPr>
        <w:rFonts w:cs="Times New Roman"/>
      </w:rPr>
    </w:lvl>
    <w:lvl w:ilvl="6" w:tplc="0809000F">
      <w:start w:val="1"/>
      <w:numFmt w:val="decimal"/>
      <w:lvlText w:val="%7."/>
      <w:lvlJc w:val="left"/>
      <w:pPr>
        <w:ind w:left="5106" w:hanging="360"/>
      </w:pPr>
      <w:rPr>
        <w:rFonts w:cs="Times New Roman"/>
      </w:rPr>
    </w:lvl>
    <w:lvl w:ilvl="7" w:tplc="08090019">
      <w:start w:val="1"/>
      <w:numFmt w:val="lowerLetter"/>
      <w:lvlText w:val="%8."/>
      <w:lvlJc w:val="left"/>
      <w:pPr>
        <w:ind w:left="5826" w:hanging="360"/>
      </w:pPr>
      <w:rPr>
        <w:rFonts w:cs="Times New Roman"/>
      </w:rPr>
    </w:lvl>
    <w:lvl w:ilvl="8" w:tplc="0809001B">
      <w:start w:val="1"/>
      <w:numFmt w:val="lowerRoman"/>
      <w:lvlText w:val="%9."/>
      <w:lvlJc w:val="right"/>
      <w:pPr>
        <w:ind w:left="6546" w:hanging="180"/>
      </w:pPr>
      <w:rPr>
        <w:rFonts w:cs="Times New Roman"/>
      </w:rPr>
    </w:lvl>
  </w:abstractNum>
  <w:abstractNum w:abstractNumId="5">
    <w:nsid w:val="1ABB34DD"/>
    <w:multiLevelType w:val="hybridMultilevel"/>
    <w:tmpl w:val="725A8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6630C0"/>
    <w:multiLevelType w:val="hybridMultilevel"/>
    <w:tmpl w:val="CCAC9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04414"/>
    <w:multiLevelType w:val="hybridMultilevel"/>
    <w:tmpl w:val="CB343496"/>
    <w:lvl w:ilvl="0" w:tplc="93CA55D2">
      <w:start w:val="1"/>
      <w:numFmt w:val="decimal"/>
      <w:lvlText w:val="%1."/>
      <w:lvlJc w:val="left"/>
      <w:pPr>
        <w:tabs>
          <w:tab w:val="num" w:pos="360"/>
        </w:tabs>
        <w:ind w:left="360" w:hanging="360"/>
      </w:pPr>
      <w:rPr>
        <w:rFonts w:hint="default"/>
        <w:b w:val="0"/>
        <w:i w:val="0"/>
        <w:color w:val="auto"/>
        <w:sz w:val="24"/>
        <w:szCs w:val="24"/>
      </w:rPr>
    </w:lvl>
    <w:lvl w:ilvl="1" w:tplc="04090019">
      <w:start w:val="1"/>
      <w:numFmt w:val="lowerLetter"/>
      <w:lvlText w:val="%2."/>
      <w:lvlJc w:val="left"/>
      <w:pPr>
        <w:tabs>
          <w:tab w:val="num" w:pos="360"/>
        </w:tabs>
        <w:ind w:left="360" w:hanging="360"/>
      </w:pPr>
    </w:lvl>
    <w:lvl w:ilvl="2" w:tplc="B7EEDD1C">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A26DB1"/>
    <w:multiLevelType w:val="hybridMultilevel"/>
    <w:tmpl w:val="BFEE9CB4"/>
    <w:lvl w:ilvl="0" w:tplc="715A0336">
      <w:start w:val="6"/>
      <w:numFmt w:val="bullet"/>
      <w:lvlText w:val="-"/>
      <w:lvlJc w:val="left"/>
      <w:pPr>
        <w:ind w:left="1495" w:hanging="360"/>
      </w:pPr>
      <w:rPr>
        <w:rFonts w:ascii="Times New Roman" w:eastAsia="Times New Roman" w:hAnsi="Times New Roman" w:cs="Times New Roman"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9">
    <w:nsid w:val="3841526C"/>
    <w:multiLevelType w:val="hybridMultilevel"/>
    <w:tmpl w:val="32E4B2DE"/>
    <w:lvl w:ilvl="0" w:tplc="AEDE00B6">
      <w:start w:val="1"/>
      <w:numFmt w:val="decimal"/>
      <w:lvlText w:val="%1."/>
      <w:lvlJc w:val="left"/>
      <w:pPr>
        <w:tabs>
          <w:tab w:val="num" w:pos="360"/>
        </w:tabs>
        <w:ind w:left="360" w:hanging="360"/>
      </w:pPr>
      <w:rPr>
        <w:rFonts w:hint="default"/>
        <w:b w:val="0"/>
        <w:i w:val="0"/>
        <w:color w:val="auto"/>
        <w:sz w:val="24"/>
        <w:szCs w:val="24"/>
      </w:rPr>
    </w:lvl>
    <w:lvl w:ilvl="1" w:tplc="04090019">
      <w:start w:val="1"/>
      <w:numFmt w:val="lowerLetter"/>
      <w:lvlText w:val="%2."/>
      <w:lvlJc w:val="left"/>
      <w:pPr>
        <w:tabs>
          <w:tab w:val="num" w:pos="360"/>
        </w:tabs>
        <w:ind w:left="360" w:hanging="360"/>
      </w:pPr>
    </w:lvl>
    <w:lvl w:ilvl="2" w:tplc="B7EEDD1C">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B73578"/>
    <w:multiLevelType w:val="hybridMultilevel"/>
    <w:tmpl w:val="42841CEC"/>
    <w:lvl w:ilvl="0" w:tplc="EDFCA0C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AA47C47"/>
    <w:multiLevelType w:val="hybridMultilevel"/>
    <w:tmpl w:val="0908D512"/>
    <w:lvl w:ilvl="0" w:tplc="0409000F">
      <w:start w:val="1"/>
      <w:numFmt w:val="decimal"/>
      <w:lvlText w:val="%1."/>
      <w:lvlJc w:val="left"/>
      <w:pPr>
        <w:ind w:left="360" w:hanging="360"/>
      </w:pPr>
      <w:rPr>
        <w:rFonts w:hint="default"/>
      </w:rPr>
    </w:lvl>
    <w:lvl w:ilvl="1" w:tplc="54D861A4">
      <w:start w:val="2"/>
      <w:numFmt w:val="lowerLetter"/>
      <w:lvlText w:val="%2."/>
      <w:lvlJc w:val="left"/>
      <w:pPr>
        <w:ind w:left="45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B772BD1"/>
    <w:multiLevelType w:val="hybridMultilevel"/>
    <w:tmpl w:val="C20490C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C590FD1"/>
    <w:multiLevelType w:val="hybridMultilevel"/>
    <w:tmpl w:val="2C9CAC30"/>
    <w:lvl w:ilvl="0" w:tplc="4792349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D2E777C"/>
    <w:multiLevelType w:val="hybridMultilevel"/>
    <w:tmpl w:val="B5622638"/>
    <w:lvl w:ilvl="0" w:tplc="BD5E2F50">
      <w:start w:val="1"/>
      <w:numFmt w:val="decimal"/>
      <w:lvlText w:val="%1."/>
      <w:lvlJc w:val="left"/>
      <w:pPr>
        <w:tabs>
          <w:tab w:val="num" w:pos="567"/>
        </w:tabs>
        <w:ind w:left="0" w:firstLine="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692B62"/>
    <w:multiLevelType w:val="hybridMultilevel"/>
    <w:tmpl w:val="8972742E"/>
    <w:lvl w:ilvl="0" w:tplc="D696D034">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7A6D0A8C"/>
    <w:multiLevelType w:val="hybridMultilevel"/>
    <w:tmpl w:val="231C45D0"/>
    <w:lvl w:ilvl="0" w:tplc="67C0A80A">
      <w:start w:val="1"/>
      <w:numFmt w:val="lowerLetter"/>
      <w:lvlText w:val="%1)"/>
      <w:lvlJc w:val="left"/>
      <w:pPr>
        <w:ind w:left="540" w:hanging="360"/>
      </w:pPr>
      <w:rPr>
        <w:rFonts w:hint="default"/>
        <w:b w:val="0"/>
        <w:i/>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CA93D09"/>
    <w:multiLevelType w:val="hybridMultilevel"/>
    <w:tmpl w:val="7F24F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9039FF"/>
    <w:multiLevelType w:val="hybridMultilevel"/>
    <w:tmpl w:val="B1744102"/>
    <w:lvl w:ilvl="0" w:tplc="5EBA5AE2">
      <w:start w:val="1"/>
      <w:numFmt w:val="upperRoman"/>
      <w:lvlText w:val="%1."/>
      <w:lvlJc w:val="left"/>
      <w:pPr>
        <w:ind w:left="720" w:hanging="720"/>
      </w:pPr>
      <w:rPr>
        <w:rFonts w:hint="default"/>
        <w:b/>
      </w:rPr>
    </w:lvl>
    <w:lvl w:ilvl="1" w:tplc="97F6429A">
      <w:start w:val="1"/>
      <w:numFmt w:val="decimal"/>
      <w:lvlText w:val="%2."/>
      <w:lvlJc w:val="left"/>
      <w:pPr>
        <w:tabs>
          <w:tab w:val="num" w:pos="360"/>
        </w:tabs>
        <w:ind w:left="360" w:hanging="360"/>
      </w:pPr>
      <w:rPr>
        <w:rFonts w:hint="default"/>
      </w:rPr>
    </w:lvl>
    <w:lvl w:ilvl="2" w:tplc="7B480690">
      <w:start w:val="29"/>
      <w:numFmt w:val="upperLetter"/>
      <w:lvlText w:val="%3."/>
      <w:lvlJc w:val="left"/>
      <w:pPr>
        <w:tabs>
          <w:tab w:val="num" w:pos="2370"/>
        </w:tabs>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0"/>
  </w:num>
  <w:num w:numId="5">
    <w:abstractNumId w:val="14"/>
  </w:num>
  <w:num w:numId="6">
    <w:abstractNumId w:val="3"/>
  </w:num>
  <w:num w:numId="7">
    <w:abstractNumId w:val="12"/>
  </w:num>
  <w:num w:numId="8">
    <w:abstractNumId w:val="8"/>
  </w:num>
  <w:num w:numId="9">
    <w:abstractNumId w:val="6"/>
  </w:num>
  <w:num w:numId="10">
    <w:abstractNumId w:val="1"/>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5"/>
  </w:num>
  <w:num w:numId="1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1"/>
  </w:num>
  <w:num w:numId="18">
    <w:abstractNumId w:val="17"/>
  </w:num>
  <w:num w:numId="19">
    <w:abstractNumId w:val="0"/>
  </w:num>
  <w:num w:numId="20">
    <w:abstractNumId w:val="5"/>
  </w:num>
  <w:num w:numId="21">
    <w:abstractNumId w:val="4"/>
    <w:lvlOverride w:ilvl="0">
      <w:startOverride w:val="1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44"/>
    <w:rsid w:val="00003387"/>
    <w:rsid w:val="000043BC"/>
    <w:rsid w:val="0000536C"/>
    <w:rsid w:val="00005C16"/>
    <w:rsid w:val="00005CB2"/>
    <w:rsid w:val="0000633A"/>
    <w:rsid w:val="000072A4"/>
    <w:rsid w:val="00007E91"/>
    <w:rsid w:val="0001052E"/>
    <w:rsid w:val="00012BBB"/>
    <w:rsid w:val="0001317B"/>
    <w:rsid w:val="0001588C"/>
    <w:rsid w:val="00015EAF"/>
    <w:rsid w:val="0002011C"/>
    <w:rsid w:val="000209DC"/>
    <w:rsid w:val="00021480"/>
    <w:rsid w:val="00022E69"/>
    <w:rsid w:val="00025BD8"/>
    <w:rsid w:val="00025D67"/>
    <w:rsid w:val="00025DC5"/>
    <w:rsid w:val="000300C8"/>
    <w:rsid w:val="00033882"/>
    <w:rsid w:val="00033D6B"/>
    <w:rsid w:val="00035A70"/>
    <w:rsid w:val="00042514"/>
    <w:rsid w:val="00042D53"/>
    <w:rsid w:val="00044820"/>
    <w:rsid w:val="00044FA2"/>
    <w:rsid w:val="00050B85"/>
    <w:rsid w:val="00054459"/>
    <w:rsid w:val="000565C8"/>
    <w:rsid w:val="00056A25"/>
    <w:rsid w:val="00057B23"/>
    <w:rsid w:val="00060474"/>
    <w:rsid w:val="00060C31"/>
    <w:rsid w:val="000618F1"/>
    <w:rsid w:val="00062401"/>
    <w:rsid w:val="00063A91"/>
    <w:rsid w:val="00064CF9"/>
    <w:rsid w:val="00064E34"/>
    <w:rsid w:val="0006762B"/>
    <w:rsid w:val="00071523"/>
    <w:rsid w:val="000722CE"/>
    <w:rsid w:val="00073F8C"/>
    <w:rsid w:val="00074D6B"/>
    <w:rsid w:val="00075D74"/>
    <w:rsid w:val="00075FC9"/>
    <w:rsid w:val="00077145"/>
    <w:rsid w:val="00077DE9"/>
    <w:rsid w:val="0008098F"/>
    <w:rsid w:val="0008099B"/>
    <w:rsid w:val="00082345"/>
    <w:rsid w:val="000824ED"/>
    <w:rsid w:val="00086415"/>
    <w:rsid w:val="000865B1"/>
    <w:rsid w:val="000875E1"/>
    <w:rsid w:val="00091C96"/>
    <w:rsid w:val="0009345C"/>
    <w:rsid w:val="00093691"/>
    <w:rsid w:val="00094FA3"/>
    <w:rsid w:val="000958B3"/>
    <w:rsid w:val="000A21A8"/>
    <w:rsid w:val="000A233E"/>
    <w:rsid w:val="000A4208"/>
    <w:rsid w:val="000A49BC"/>
    <w:rsid w:val="000A4C40"/>
    <w:rsid w:val="000A65EB"/>
    <w:rsid w:val="000A6E33"/>
    <w:rsid w:val="000A7439"/>
    <w:rsid w:val="000B133A"/>
    <w:rsid w:val="000B139B"/>
    <w:rsid w:val="000B1FB4"/>
    <w:rsid w:val="000B46F6"/>
    <w:rsid w:val="000B51F2"/>
    <w:rsid w:val="000B5C31"/>
    <w:rsid w:val="000C2AEF"/>
    <w:rsid w:val="000C425B"/>
    <w:rsid w:val="000C7592"/>
    <w:rsid w:val="000C7B8E"/>
    <w:rsid w:val="000D0543"/>
    <w:rsid w:val="000D0693"/>
    <w:rsid w:val="000D1606"/>
    <w:rsid w:val="000D2756"/>
    <w:rsid w:val="000D362F"/>
    <w:rsid w:val="000D46DF"/>
    <w:rsid w:val="000D579F"/>
    <w:rsid w:val="000D59E7"/>
    <w:rsid w:val="000D5BCF"/>
    <w:rsid w:val="000E11DC"/>
    <w:rsid w:val="000E12A4"/>
    <w:rsid w:val="000E23B6"/>
    <w:rsid w:val="000E2956"/>
    <w:rsid w:val="000E2A2A"/>
    <w:rsid w:val="000E59FE"/>
    <w:rsid w:val="000E7030"/>
    <w:rsid w:val="000F060C"/>
    <w:rsid w:val="000F2772"/>
    <w:rsid w:val="000F475D"/>
    <w:rsid w:val="000F5F92"/>
    <w:rsid w:val="000F6E16"/>
    <w:rsid w:val="000F7E70"/>
    <w:rsid w:val="001003BC"/>
    <w:rsid w:val="0010071F"/>
    <w:rsid w:val="001018B0"/>
    <w:rsid w:val="00102BB7"/>
    <w:rsid w:val="00105A05"/>
    <w:rsid w:val="00106865"/>
    <w:rsid w:val="00111B60"/>
    <w:rsid w:val="00112081"/>
    <w:rsid w:val="00112756"/>
    <w:rsid w:val="001132C3"/>
    <w:rsid w:val="00113503"/>
    <w:rsid w:val="00114786"/>
    <w:rsid w:val="0011549D"/>
    <w:rsid w:val="001155AC"/>
    <w:rsid w:val="00117054"/>
    <w:rsid w:val="00121E9E"/>
    <w:rsid w:val="00122DFB"/>
    <w:rsid w:val="00122F00"/>
    <w:rsid w:val="00123F99"/>
    <w:rsid w:val="001279D7"/>
    <w:rsid w:val="00133592"/>
    <w:rsid w:val="001350FB"/>
    <w:rsid w:val="001403C2"/>
    <w:rsid w:val="00140481"/>
    <w:rsid w:val="0014048A"/>
    <w:rsid w:val="0014335B"/>
    <w:rsid w:val="001449C9"/>
    <w:rsid w:val="00144AF1"/>
    <w:rsid w:val="0014568C"/>
    <w:rsid w:val="00145983"/>
    <w:rsid w:val="001459F6"/>
    <w:rsid w:val="00146524"/>
    <w:rsid w:val="001512A5"/>
    <w:rsid w:val="001512EA"/>
    <w:rsid w:val="00151A1D"/>
    <w:rsid w:val="001530BE"/>
    <w:rsid w:val="00153694"/>
    <w:rsid w:val="00154325"/>
    <w:rsid w:val="00154725"/>
    <w:rsid w:val="00154829"/>
    <w:rsid w:val="00154E5E"/>
    <w:rsid w:val="0016154E"/>
    <w:rsid w:val="001642C0"/>
    <w:rsid w:val="00164407"/>
    <w:rsid w:val="0016631D"/>
    <w:rsid w:val="00166DB7"/>
    <w:rsid w:val="00167450"/>
    <w:rsid w:val="00171AFB"/>
    <w:rsid w:val="00171E19"/>
    <w:rsid w:val="001727C1"/>
    <w:rsid w:val="00172B14"/>
    <w:rsid w:val="001730D5"/>
    <w:rsid w:val="001732BF"/>
    <w:rsid w:val="00173F75"/>
    <w:rsid w:val="00177E8D"/>
    <w:rsid w:val="001804D5"/>
    <w:rsid w:val="001808EB"/>
    <w:rsid w:val="00181AA5"/>
    <w:rsid w:val="00183978"/>
    <w:rsid w:val="0018424E"/>
    <w:rsid w:val="00184384"/>
    <w:rsid w:val="00184B7D"/>
    <w:rsid w:val="001850F5"/>
    <w:rsid w:val="001852D9"/>
    <w:rsid w:val="00186B18"/>
    <w:rsid w:val="00190271"/>
    <w:rsid w:val="00194191"/>
    <w:rsid w:val="00194800"/>
    <w:rsid w:val="00194D93"/>
    <w:rsid w:val="00195ECC"/>
    <w:rsid w:val="00197979"/>
    <w:rsid w:val="001A08B0"/>
    <w:rsid w:val="001A4AF8"/>
    <w:rsid w:val="001A57F8"/>
    <w:rsid w:val="001A5F6B"/>
    <w:rsid w:val="001A6816"/>
    <w:rsid w:val="001B155D"/>
    <w:rsid w:val="001B1A1A"/>
    <w:rsid w:val="001B241F"/>
    <w:rsid w:val="001B44B7"/>
    <w:rsid w:val="001B4620"/>
    <w:rsid w:val="001B4F35"/>
    <w:rsid w:val="001B6B46"/>
    <w:rsid w:val="001B768F"/>
    <w:rsid w:val="001B7E46"/>
    <w:rsid w:val="001C0F0F"/>
    <w:rsid w:val="001C2229"/>
    <w:rsid w:val="001C238F"/>
    <w:rsid w:val="001C2817"/>
    <w:rsid w:val="001C6555"/>
    <w:rsid w:val="001D031A"/>
    <w:rsid w:val="001D22C7"/>
    <w:rsid w:val="001D2C42"/>
    <w:rsid w:val="001D311B"/>
    <w:rsid w:val="001D3C35"/>
    <w:rsid w:val="001D45F5"/>
    <w:rsid w:val="001D4A00"/>
    <w:rsid w:val="001D5261"/>
    <w:rsid w:val="001D5F2F"/>
    <w:rsid w:val="001D6CAC"/>
    <w:rsid w:val="001D73A9"/>
    <w:rsid w:val="001D7A5D"/>
    <w:rsid w:val="001E0730"/>
    <w:rsid w:val="001E0D8A"/>
    <w:rsid w:val="001E11FB"/>
    <w:rsid w:val="001E2A7D"/>
    <w:rsid w:val="001E2DC6"/>
    <w:rsid w:val="001E3D4F"/>
    <w:rsid w:val="001E40A0"/>
    <w:rsid w:val="001E5241"/>
    <w:rsid w:val="001E5F6A"/>
    <w:rsid w:val="001E6809"/>
    <w:rsid w:val="001E69F5"/>
    <w:rsid w:val="001F0511"/>
    <w:rsid w:val="001F1FF3"/>
    <w:rsid w:val="001F22FD"/>
    <w:rsid w:val="001F27D0"/>
    <w:rsid w:val="001F3585"/>
    <w:rsid w:val="001F36C9"/>
    <w:rsid w:val="001F3C32"/>
    <w:rsid w:val="001F4AC3"/>
    <w:rsid w:val="001F6A62"/>
    <w:rsid w:val="001F7985"/>
    <w:rsid w:val="001F7B37"/>
    <w:rsid w:val="00201CB5"/>
    <w:rsid w:val="00202598"/>
    <w:rsid w:val="00202F90"/>
    <w:rsid w:val="00203109"/>
    <w:rsid w:val="0020323B"/>
    <w:rsid w:val="00203FF4"/>
    <w:rsid w:val="002070ED"/>
    <w:rsid w:val="002074D2"/>
    <w:rsid w:val="00207662"/>
    <w:rsid w:val="00207EF6"/>
    <w:rsid w:val="002119C2"/>
    <w:rsid w:val="0021476D"/>
    <w:rsid w:val="002147F2"/>
    <w:rsid w:val="00215EA8"/>
    <w:rsid w:val="00221B7A"/>
    <w:rsid w:val="00222D2F"/>
    <w:rsid w:val="00225BAB"/>
    <w:rsid w:val="002274C0"/>
    <w:rsid w:val="00231A61"/>
    <w:rsid w:val="00231EE6"/>
    <w:rsid w:val="0023308F"/>
    <w:rsid w:val="0023537F"/>
    <w:rsid w:val="002360DA"/>
    <w:rsid w:val="002361C0"/>
    <w:rsid w:val="00236A14"/>
    <w:rsid w:val="00237A05"/>
    <w:rsid w:val="00242881"/>
    <w:rsid w:val="00243327"/>
    <w:rsid w:val="002437E9"/>
    <w:rsid w:val="00243A63"/>
    <w:rsid w:val="002443C3"/>
    <w:rsid w:val="002471CF"/>
    <w:rsid w:val="002473B8"/>
    <w:rsid w:val="00250C69"/>
    <w:rsid w:val="0025147D"/>
    <w:rsid w:val="00251D80"/>
    <w:rsid w:val="002524AF"/>
    <w:rsid w:val="00252B9E"/>
    <w:rsid w:val="002539EF"/>
    <w:rsid w:val="0025400A"/>
    <w:rsid w:val="00255130"/>
    <w:rsid w:val="00255D57"/>
    <w:rsid w:val="00260384"/>
    <w:rsid w:val="002624D6"/>
    <w:rsid w:val="00262A2F"/>
    <w:rsid w:val="00262B1E"/>
    <w:rsid w:val="00262B44"/>
    <w:rsid w:val="0026374C"/>
    <w:rsid w:val="002640D8"/>
    <w:rsid w:val="00265A15"/>
    <w:rsid w:val="00267300"/>
    <w:rsid w:val="0027204F"/>
    <w:rsid w:val="00273478"/>
    <w:rsid w:val="002737ED"/>
    <w:rsid w:val="002745CF"/>
    <w:rsid w:val="00275342"/>
    <w:rsid w:val="00275457"/>
    <w:rsid w:val="002758B9"/>
    <w:rsid w:val="00276E5E"/>
    <w:rsid w:val="002816FF"/>
    <w:rsid w:val="00281FB3"/>
    <w:rsid w:val="00284A77"/>
    <w:rsid w:val="00285F55"/>
    <w:rsid w:val="0028685C"/>
    <w:rsid w:val="00287CA7"/>
    <w:rsid w:val="00291D60"/>
    <w:rsid w:val="00292463"/>
    <w:rsid w:val="00294415"/>
    <w:rsid w:val="002948A6"/>
    <w:rsid w:val="00296C0B"/>
    <w:rsid w:val="00296DF3"/>
    <w:rsid w:val="002A18D6"/>
    <w:rsid w:val="002A1DEC"/>
    <w:rsid w:val="002A29A6"/>
    <w:rsid w:val="002A4749"/>
    <w:rsid w:val="002B171F"/>
    <w:rsid w:val="002B26D6"/>
    <w:rsid w:val="002B402A"/>
    <w:rsid w:val="002B4F4E"/>
    <w:rsid w:val="002B520C"/>
    <w:rsid w:val="002B6427"/>
    <w:rsid w:val="002B7A39"/>
    <w:rsid w:val="002C03BD"/>
    <w:rsid w:val="002C1C5F"/>
    <w:rsid w:val="002C2761"/>
    <w:rsid w:val="002C45DB"/>
    <w:rsid w:val="002C568F"/>
    <w:rsid w:val="002C60F4"/>
    <w:rsid w:val="002C656A"/>
    <w:rsid w:val="002C6D03"/>
    <w:rsid w:val="002C786F"/>
    <w:rsid w:val="002D180A"/>
    <w:rsid w:val="002D3DA0"/>
    <w:rsid w:val="002D428F"/>
    <w:rsid w:val="002D5DD4"/>
    <w:rsid w:val="002E02C5"/>
    <w:rsid w:val="002E04D2"/>
    <w:rsid w:val="002E0AF3"/>
    <w:rsid w:val="002E1F96"/>
    <w:rsid w:val="002E2507"/>
    <w:rsid w:val="002F1033"/>
    <w:rsid w:val="002F2D96"/>
    <w:rsid w:val="002F42C3"/>
    <w:rsid w:val="002F46FC"/>
    <w:rsid w:val="002F4D66"/>
    <w:rsid w:val="002F65E3"/>
    <w:rsid w:val="00301DAC"/>
    <w:rsid w:val="00304848"/>
    <w:rsid w:val="00304D18"/>
    <w:rsid w:val="00310CFD"/>
    <w:rsid w:val="00310F91"/>
    <w:rsid w:val="00312441"/>
    <w:rsid w:val="00316A34"/>
    <w:rsid w:val="00321C03"/>
    <w:rsid w:val="00322780"/>
    <w:rsid w:val="00323223"/>
    <w:rsid w:val="00326663"/>
    <w:rsid w:val="003306C0"/>
    <w:rsid w:val="00330F5D"/>
    <w:rsid w:val="003324DB"/>
    <w:rsid w:val="00332682"/>
    <w:rsid w:val="0033280E"/>
    <w:rsid w:val="003337EF"/>
    <w:rsid w:val="00333CD6"/>
    <w:rsid w:val="003360CC"/>
    <w:rsid w:val="00336399"/>
    <w:rsid w:val="00337F92"/>
    <w:rsid w:val="0034188D"/>
    <w:rsid w:val="0034219E"/>
    <w:rsid w:val="00343345"/>
    <w:rsid w:val="003456E7"/>
    <w:rsid w:val="003461EF"/>
    <w:rsid w:val="003472C6"/>
    <w:rsid w:val="00347A90"/>
    <w:rsid w:val="00347B71"/>
    <w:rsid w:val="00350C81"/>
    <w:rsid w:val="00351024"/>
    <w:rsid w:val="00351324"/>
    <w:rsid w:val="00351429"/>
    <w:rsid w:val="0035305F"/>
    <w:rsid w:val="003541D2"/>
    <w:rsid w:val="00354676"/>
    <w:rsid w:val="00355673"/>
    <w:rsid w:val="00355E4A"/>
    <w:rsid w:val="00356632"/>
    <w:rsid w:val="0035788B"/>
    <w:rsid w:val="003605F6"/>
    <w:rsid w:val="00361768"/>
    <w:rsid w:val="003618D3"/>
    <w:rsid w:val="00361BD4"/>
    <w:rsid w:val="00361F4D"/>
    <w:rsid w:val="00363198"/>
    <w:rsid w:val="0036478E"/>
    <w:rsid w:val="0036506B"/>
    <w:rsid w:val="003653FA"/>
    <w:rsid w:val="00366207"/>
    <w:rsid w:val="003700EB"/>
    <w:rsid w:val="003725D1"/>
    <w:rsid w:val="00372A92"/>
    <w:rsid w:val="003733F1"/>
    <w:rsid w:val="0037385F"/>
    <w:rsid w:val="00374546"/>
    <w:rsid w:val="00375153"/>
    <w:rsid w:val="003778B8"/>
    <w:rsid w:val="00380A17"/>
    <w:rsid w:val="003837C8"/>
    <w:rsid w:val="00383CDF"/>
    <w:rsid w:val="00385A0E"/>
    <w:rsid w:val="00385EAF"/>
    <w:rsid w:val="0038766F"/>
    <w:rsid w:val="003905A1"/>
    <w:rsid w:val="00390AE0"/>
    <w:rsid w:val="003931B9"/>
    <w:rsid w:val="0039337A"/>
    <w:rsid w:val="003936AC"/>
    <w:rsid w:val="00393E7A"/>
    <w:rsid w:val="00393E8D"/>
    <w:rsid w:val="0039675C"/>
    <w:rsid w:val="003A0AF8"/>
    <w:rsid w:val="003A0E4C"/>
    <w:rsid w:val="003A275F"/>
    <w:rsid w:val="003A2EBD"/>
    <w:rsid w:val="003A3EA5"/>
    <w:rsid w:val="003A3EAA"/>
    <w:rsid w:val="003A4BA6"/>
    <w:rsid w:val="003A658C"/>
    <w:rsid w:val="003A7B8B"/>
    <w:rsid w:val="003B0328"/>
    <w:rsid w:val="003B1C80"/>
    <w:rsid w:val="003B1F5E"/>
    <w:rsid w:val="003B2010"/>
    <w:rsid w:val="003B29DC"/>
    <w:rsid w:val="003B3907"/>
    <w:rsid w:val="003B43F3"/>
    <w:rsid w:val="003B5FD2"/>
    <w:rsid w:val="003B7650"/>
    <w:rsid w:val="003C080C"/>
    <w:rsid w:val="003C1DDB"/>
    <w:rsid w:val="003C3BF4"/>
    <w:rsid w:val="003C5F4E"/>
    <w:rsid w:val="003C6352"/>
    <w:rsid w:val="003D1D0C"/>
    <w:rsid w:val="003D2EB6"/>
    <w:rsid w:val="003D5866"/>
    <w:rsid w:val="003E09D2"/>
    <w:rsid w:val="003E3EC5"/>
    <w:rsid w:val="003E3F85"/>
    <w:rsid w:val="003E5B71"/>
    <w:rsid w:val="003E5FA6"/>
    <w:rsid w:val="003E64E0"/>
    <w:rsid w:val="003E74BC"/>
    <w:rsid w:val="003F02E5"/>
    <w:rsid w:val="003F02F9"/>
    <w:rsid w:val="003F1FC4"/>
    <w:rsid w:val="003F3442"/>
    <w:rsid w:val="003F474E"/>
    <w:rsid w:val="003F4D2F"/>
    <w:rsid w:val="003F50C4"/>
    <w:rsid w:val="003F53A4"/>
    <w:rsid w:val="003F54A4"/>
    <w:rsid w:val="003F5D1D"/>
    <w:rsid w:val="003F6AD6"/>
    <w:rsid w:val="003F7337"/>
    <w:rsid w:val="003F733F"/>
    <w:rsid w:val="003F7C2B"/>
    <w:rsid w:val="00400CED"/>
    <w:rsid w:val="00401FD2"/>
    <w:rsid w:val="00402699"/>
    <w:rsid w:val="00402B8F"/>
    <w:rsid w:val="004033CB"/>
    <w:rsid w:val="00405334"/>
    <w:rsid w:val="00405C17"/>
    <w:rsid w:val="0041262D"/>
    <w:rsid w:val="00414BA2"/>
    <w:rsid w:val="00420088"/>
    <w:rsid w:val="004202B2"/>
    <w:rsid w:val="00422729"/>
    <w:rsid w:val="00423598"/>
    <w:rsid w:val="0042549A"/>
    <w:rsid w:val="00427A31"/>
    <w:rsid w:val="0043016C"/>
    <w:rsid w:val="00430BBE"/>
    <w:rsid w:val="00430D9E"/>
    <w:rsid w:val="00433154"/>
    <w:rsid w:val="0043400E"/>
    <w:rsid w:val="00434BB6"/>
    <w:rsid w:val="0043575D"/>
    <w:rsid w:val="00440550"/>
    <w:rsid w:val="0044072F"/>
    <w:rsid w:val="00440903"/>
    <w:rsid w:val="00440E88"/>
    <w:rsid w:val="0044246C"/>
    <w:rsid w:val="00443568"/>
    <w:rsid w:val="00445981"/>
    <w:rsid w:val="00445EAD"/>
    <w:rsid w:val="0044617E"/>
    <w:rsid w:val="004523CF"/>
    <w:rsid w:val="00452920"/>
    <w:rsid w:val="004534C4"/>
    <w:rsid w:val="00453993"/>
    <w:rsid w:val="00455594"/>
    <w:rsid w:val="0045684F"/>
    <w:rsid w:val="00456871"/>
    <w:rsid w:val="00461097"/>
    <w:rsid w:val="00462146"/>
    <w:rsid w:val="00466DCF"/>
    <w:rsid w:val="00466E32"/>
    <w:rsid w:val="004714D9"/>
    <w:rsid w:val="00472580"/>
    <w:rsid w:val="00472DFF"/>
    <w:rsid w:val="00473041"/>
    <w:rsid w:val="00474109"/>
    <w:rsid w:val="0047658A"/>
    <w:rsid w:val="00476D2E"/>
    <w:rsid w:val="00481297"/>
    <w:rsid w:val="004812CA"/>
    <w:rsid w:val="00482953"/>
    <w:rsid w:val="004865D9"/>
    <w:rsid w:val="00487961"/>
    <w:rsid w:val="0049115E"/>
    <w:rsid w:val="004915E6"/>
    <w:rsid w:val="00491629"/>
    <w:rsid w:val="00491B79"/>
    <w:rsid w:val="004938F7"/>
    <w:rsid w:val="00494E3A"/>
    <w:rsid w:val="00495CD7"/>
    <w:rsid w:val="004961CD"/>
    <w:rsid w:val="004963EA"/>
    <w:rsid w:val="00497092"/>
    <w:rsid w:val="00497C0C"/>
    <w:rsid w:val="004A010F"/>
    <w:rsid w:val="004A04CF"/>
    <w:rsid w:val="004A3362"/>
    <w:rsid w:val="004A4616"/>
    <w:rsid w:val="004A4D35"/>
    <w:rsid w:val="004A4D91"/>
    <w:rsid w:val="004A5616"/>
    <w:rsid w:val="004B095F"/>
    <w:rsid w:val="004B394B"/>
    <w:rsid w:val="004B426D"/>
    <w:rsid w:val="004B5E0A"/>
    <w:rsid w:val="004B627D"/>
    <w:rsid w:val="004B698B"/>
    <w:rsid w:val="004B7427"/>
    <w:rsid w:val="004B7B66"/>
    <w:rsid w:val="004B7D5D"/>
    <w:rsid w:val="004C0211"/>
    <w:rsid w:val="004C104C"/>
    <w:rsid w:val="004C541B"/>
    <w:rsid w:val="004C5ECD"/>
    <w:rsid w:val="004C5F53"/>
    <w:rsid w:val="004C6E8C"/>
    <w:rsid w:val="004C7167"/>
    <w:rsid w:val="004C78D2"/>
    <w:rsid w:val="004D1952"/>
    <w:rsid w:val="004D1B23"/>
    <w:rsid w:val="004D2F71"/>
    <w:rsid w:val="004D480E"/>
    <w:rsid w:val="004D4C22"/>
    <w:rsid w:val="004D4DDE"/>
    <w:rsid w:val="004D61B9"/>
    <w:rsid w:val="004D6808"/>
    <w:rsid w:val="004E1F8C"/>
    <w:rsid w:val="004E415C"/>
    <w:rsid w:val="004E440D"/>
    <w:rsid w:val="004E4FBD"/>
    <w:rsid w:val="004E6657"/>
    <w:rsid w:val="004E7BB8"/>
    <w:rsid w:val="004F0CAB"/>
    <w:rsid w:val="004F1628"/>
    <w:rsid w:val="004F23AE"/>
    <w:rsid w:val="004F45E5"/>
    <w:rsid w:val="004F71FD"/>
    <w:rsid w:val="004F77C7"/>
    <w:rsid w:val="005006CB"/>
    <w:rsid w:val="005009F9"/>
    <w:rsid w:val="00503BB3"/>
    <w:rsid w:val="00505C47"/>
    <w:rsid w:val="005077B1"/>
    <w:rsid w:val="005125E2"/>
    <w:rsid w:val="00512BF7"/>
    <w:rsid w:val="00514229"/>
    <w:rsid w:val="00514F78"/>
    <w:rsid w:val="00516234"/>
    <w:rsid w:val="005168E7"/>
    <w:rsid w:val="00516F75"/>
    <w:rsid w:val="0052139E"/>
    <w:rsid w:val="00522823"/>
    <w:rsid w:val="00523386"/>
    <w:rsid w:val="005233A9"/>
    <w:rsid w:val="00523C89"/>
    <w:rsid w:val="0052416C"/>
    <w:rsid w:val="005244D2"/>
    <w:rsid w:val="005257F4"/>
    <w:rsid w:val="005320BE"/>
    <w:rsid w:val="005332B2"/>
    <w:rsid w:val="00535B71"/>
    <w:rsid w:val="00535F04"/>
    <w:rsid w:val="00536F69"/>
    <w:rsid w:val="005376DF"/>
    <w:rsid w:val="00537784"/>
    <w:rsid w:val="005400F7"/>
    <w:rsid w:val="0054256C"/>
    <w:rsid w:val="0054280D"/>
    <w:rsid w:val="005445C1"/>
    <w:rsid w:val="00544669"/>
    <w:rsid w:val="00544E5A"/>
    <w:rsid w:val="00545A64"/>
    <w:rsid w:val="00546DB5"/>
    <w:rsid w:val="00551A17"/>
    <w:rsid w:val="00552913"/>
    <w:rsid w:val="00552E02"/>
    <w:rsid w:val="00553535"/>
    <w:rsid w:val="005547B8"/>
    <w:rsid w:val="005551E0"/>
    <w:rsid w:val="00555891"/>
    <w:rsid w:val="0055732C"/>
    <w:rsid w:val="00557F1B"/>
    <w:rsid w:val="00560510"/>
    <w:rsid w:val="00562343"/>
    <w:rsid w:val="005627CC"/>
    <w:rsid w:val="00562AE1"/>
    <w:rsid w:val="00562FDF"/>
    <w:rsid w:val="0056401D"/>
    <w:rsid w:val="00564D34"/>
    <w:rsid w:val="00564F1B"/>
    <w:rsid w:val="00565DC7"/>
    <w:rsid w:val="00566413"/>
    <w:rsid w:val="0056658D"/>
    <w:rsid w:val="00566ACD"/>
    <w:rsid w:val="00570CB4"/>
    <w:rsid w:val="00572199"/>
    <w:rsid w:val="0057242B"/>
    <w:rsid w:val="0057242F"/>
    <w:rsid w:val="005724AA"/>
    <w:rsid w:val="005728B8"/>
    <w:rsid w:val="00574094"/>
    <w:rsid w:val="0057625F"/>
    <w:rsid w:val="00576B13"/>
    <w:rsid w:val="00577877"/>
    <w:rsid w:val="005802A4"/>
    <w:rsid w:val="00581378"/>
    <w:rsid w:val="0058249E"/>
    <w:rsid w:val="0058307C"/>
    <w:rsid w:val="005836D4"/>
    <w:rsid w:val="00584113"/>
    <w:rsid w:val="00586F00"/>
    <w:rsid w:val="00590DAC"/>
    <w:rsid w:val="0059175C"/>
    <w:rsid w:val="005917EC"/>
    <w:rsid w:val="0059532D"/>
    <w:rsid w:val="00595E25"/>
    <w:rsid w:val="00596E66"/>
    <w:rsid w:val="005A068B"/>
    <w:rsid w:val="005A1063"/>
    <w:rsid w:val="005A1E72"/>
    <w:rsid w:val="005A21F6"/>
    <w:rsid w:val="005A2D17"/>
    <w:rsid w:val="005A3CF1"/>
    <w:rsid w:val="005A4111"/>
    <w:rsid w:val="005A6546"/>
    <w:rsid w:val="005A6E82"/>
    <w:rsid w:val="005B5EAD"/>
    <w:rsid w:val="005C110C"/>
    <w:rsid w:val="005C1D18"/>
    <w:rsid w:val="005C2555"/>
    <w:rsid w:val="005C3CD5"/>
    <w:rsid w:val="005C437F"/>
    <w:rsid w:val="005C4D36"/>
    <w:rsid w:val="005C51CD"/>
    <w:rsid w:val="005C65AF"/>
    <w:rsid w:val="005C78E7"/>
    <w:rsid w:val="005D10AB"/>
    <w:rsid w:val="005D12FB"/>
    <w:rsid w:val="005D2F19"/>
    <w:rsid w:val="005D3ED0"/>
    <w:rsid w:val="005D5F1A"/>
    <w:rsid w:val="005D6495"/>
    <w:rsid w:val="005E361B"/>
    <w:rsid w:val="005E37C5"/>
    <w:rsid w:val="005E403F"/>
    <w:rsid w:val="005E4930"/>
    <w:rsid w:val="005E6E2D"/>
    <w:rsid w:val="005E7C8F"/>
    <w:rsid w:val="005F0A19"/>
    <w:rsid w:val="005F4187"/>
    <w:rsid w:val="005F67F5"/>
    <w:rsid w:val="005F686D"/>
    <w:rsid w:val="005F689D"/>
    <w:rsid w:val="005F6DB3"/>
    <w:rsid w:val="005F742B"/>
    <w:rsid w:val="00601697"/>
    <w:rsid w:val="00603A86"/>
    <w:rsid w:val="00603C7F"/>
    <w:rsid w:val="00603D49"/>
    <w:rsid w:val="00605915"/>
    <w:rsid w:val="00606C3D"/>
    <w:rsid w:val="006111E0"/>
    <w:rsid w:val="00612698"/>
    <w:rsid w:val="00612EEF"/>
    <w:rsid w:val="00616A11"/>
    <w:rsid w:val="00617352"/>
    <w:rsid w:val="006205AF"/>
    <w:rsid w:val="00621EDB"/>
    <w:rsid w:val="00622236"/>
    <w:rsid w:val="0062454F"/>
    <w:rsid w:val="00626D88"/>
    <w:rsid w:val="00627BF9"/>
    <w:rsid w:val="00627C8E"/>
    <w:rsid w:val="0063039E"/>
    <w:rsid w:val="006366D0"/>
    <w:rsid w:val="00640576"/>
    <w:rsid w:val="006420FB"/>
    <w:rsid w:val="00643780"/>
    <w:rsid w:val="00643C1A"/>
    <w:rsid w:val="00643FA0"/>
    <w:rsid w:val="00645CFD"/>
    <w:rsid w:val="00645FDE"/>
    <w:rsid w:val="00646CA4"/>
    <w:rsid w:val="00647569"/>
    <w:rsid w:val="006475BB"/>
    <w:rsid w:val="0064761A"/>
    <w:rsid w:val="00647FB1"/>
    <w:rsid w:val="00653ED0"/>
    <w:rsid w:val="00654840"/>
    <w:rsid w:val="0065509D"/>
    <w:rsid w:val="006552EA"/>
    <w:rsid w:val="00657648"/>
    <w:rsid w:val="00657746"/>
    <w:rsid w:val="00660FE2"/>
    <w:rsid w:val="00661955"/>
    <w:rsid w:val="0066519E"/>
    <w:rsid w:val="00666D9E"/>
    <w:rsid w:val="006719B3"/>
    <w:rsid w:val="006721DE"/>
    <w:rsid w:val="006727E3"/>
    <w:rsid w:val="00672847"/>
    <w:rsid w:val="00672EBE"/>
    <w:rsid w:val="00674101"/>
    <w:rsid w:val="00674C30"/>
    <w:rsid w:val="00675375"/>
    <w:rsid w:val="00675587"/>
    <w:rsid w:val="00677B90"/>
    <w:rsid w:val="00680C67"/>
    <w:rsid w:val="00680D38"/>
    <w:rsid w:val="00680D8D"/>
    <w:rsid w:val="00680EF0"/>
    <w:rsid w:val="00681CBA"/>
    <w:rsid w:val="00683067"/>
    <w:rsid w:val="00683122"/>
    <w:rsid w:val="006840D8"/>
    <w:rsid w:val="00684DAD"/>
    <w:rsid w:val="00684F40"/>
    <w:rsid w:val="0068501A"/>
    <w:rsid w:val="00685FBC"/>
    <w:rsid w:val="00687ACD"/>
    <w:rsid w:val="006918C3"/>
    <w:rsid w:val="006946F9"/>
    <w:rsid w:val="006958C0"/>
    <w:rsid w:val="00697A75"/>
    <w:rsid w:val="006A09FC"/>
    <w:rsid w:val="006A1710"/>
    <w:rsid w:val="006A23DF"/>
    <w:rsid w:val="006A2CDF"/>
    <w:rsid w:val="006A6C95"/>
    <w:rsid w:val="006A7C1B"/>
    <w:rsid w:val="006B052B"/>
    <w:rsid w:val="006B1047"/>
    <w:rsid w:val="006B153E"/>
    <w:rsid w:val="006B3F3C"/>
    <w:rsid w:val="006B49BF"/>
    <w:rsid w:val="006B4A0D"/>
    <w:rsid w:val="006B4D3F"/>
    <w:rsid w:val="006B5D21"/>
    <w:rsid w:val="006B61A2"/>
    <w:rsid w:val="006B7095"/>
    <w:rsid w:val="006B7576"/>
    <w:rsid w:val="006C155F"/>
    <w:rsid w:val="006C2C85"/>
    <w:rsid w:val="006C632F"/>
    <w:rsid w:val="006C6331"/>
    <w:rsid w:val="006D07AF"/>
    <w:rsid w:val="006D10DA"/>
    <w:rsid w:val="006D151D"/>
    <w:rsid w:val="006D223B"/>
    <w:rsid w:val="006D27C6"/>
    <w:rsid w:val="006D36DF"/>
    <w:rsid w:val="006D3708"/>
    <w:rsid w:val="006D4B5A"/>
    <w:rsid w:val="006D56A5"/>
    <w:rsid w:val="006D7BF7"/>
    <w:rsid w:val="006D7EF2"/>
    <w:rsid w:val="006E04B1"/>
    <w:rsid w:val="006E0599"/>
    <w:rsid w:val="006E0A93"/>
    <w:rsid w:val="006E22BD"/>
    <w:rsid w:val="006E22C0"/>
    <w:rsid w:val="006E2940"/>
    <w:rsid w:val="006E2B68"/>
    <w:rsid w:val="006E39D3"/>
    <w:rsid w:val="006E61AD"/>
    <w:rsid w:val="006E6458"/>
    <w:rsid w:val="006E6658"/>
    <w:rsid w:val="006E6FD9"/>
    <w:rsid w:val="006F08BF"/>
    <w:rsid w:val="006F185F"/>
    <w:rsid w:val="006F3248"/>
    <w:rsid w:val="006F3551"/>
    <w:rsid w:val="006F35D0"/>
    <w:rsid w:val="006F38CB"/>
    <w:rsid w:val="006F4F29"/>
    <w:rsid w:val="006F5AEE"/>
    <w:rsid w:val="00701BF3"/>
    <w:rsid w:val="00703CEB"/>
    <w:rsid w:val="007047D9"/>
    <w:rsid w:val="007113B1"/>
    <w:rsid w:val="00711C23"/>
    <w:rsid w:val="00711F6E"/>
    <w:rsid w:val="00712081"/>
    <w:rsid w:val="00712F51"/>
    <w:rsid w:val="00713389"/>
    <w:rsid w:val="00713D84"/>
    <w:rsid w:val="00717451"/>
    <w:rsid w:val="00717EFD"/>
    <w:rsid w:val="00722152"/>
    <w:rsid w:val="007226EA"/>
    <w:rsid w:val="0072411F"/>
    <w:rsid w:val="00724AC2"/>
    <w:rsid w:val="00724F0F"/>
    <w:rsid w:val="007262D2"/>
    <w:rsid w:val="007268E7"/>
    <w:rsid w:val="007270F4"/>
    <w:rsid w:val="007339BC"/>
    <w:rsid w:val="00734B20"/>
    <w:rsid w:val="00735744"/>
    <w:rsid w:val="0074176D"/>
    <w:rsid w:val="00741861"/>
    <w:rsid w:val="0074205E"/>
    <w:rsid w:val="007421B8"/>
    <w:rsid w:val="007424FB"/>
    <w:rsid w:val="00743572"/>
    <w:rsid w:val="00743F72"/>
    <w:rsid w:val="00745771"/>
    <w:rsid w:val="00750193"/>
    <w:rsid w:val="0075283E"/>
    <w:rsid w:val="00752CBA"/>
    <w:rsid w:val="00752CDF"/>
    <w:rsid w:val="0075317B"/>
    <w:rsid w:val="00754113"/>
    <w:rsid w:val="007551D8"/>
    <w:rsid w:val="00755247"/>
    <w:rsid w:val="00755773"/>
    <w:rsid w:val="0076188F"/>
    <w:rsid w:val="00761AE8"/>
    <w:rsid w:val="007625E5"/>
    <w:rsid w:val="007645ED"/>
    <w:rsid w:val="00764A51"/>
    <w:rsid w:val="00764AE3"/>
    <w:rsid w:val="00764FB4"/>
    <w:rsid w:val="0076572E"/>
    <w:rsid w:val="00767CBA"/>
    <w:rsid w:val="0077155C"/>
    <w:rsid w:val="00772576"/>
    <w:rsid w:val="00772A3C"/>
    <w:rsid w:val="00773988"/>
    <w:rsid w:val="00775F66"/>
    <w:rsid w:val="007766DD"/>
    <w:rsid w:val="00780319"/>
    <w:rsid w:val="007805BB"/>
    <w:rsid w:val="007805FB"/>
    <w:rsid w:val="00781C73"/>
    <w:rsid w:val="007831C3"/>
    <w:rsid w:val="00783B48"/>
    <w:rsid w:val="00784973"/>
    <w:rsid w:val="00784C56"/>
    <w:rsid w:val="00784E54"/>
    <w:rsid w:val="00785097"/>
    <w:rsid w:val="00787BE3"/>
    <w:rsid w:val="0079425A"/>
    <w:rsid w:val="00795BB4"/>
    <w:rsid w:val="00797093"/>
    <w:rsid w:val="007A0675"/>
    <w:rsid w:val="007A4CC9"/>
    <w:rsid w:val="007A510C"/>
    <w:rsid w:val="007A59FF"/>
    <w:rsid w:val="007A5EE7"/>
    <w:rsid w:val="007A6514"/>
    <w:rsid w:val="007A6603"/>
    <w:rsid w:val="007A6FCD"/>
    <w:rsid w:val="007A78E3"/>
    <w:rsid w:val="007B03A4"/>
    <w:rsid w:val="007B087A"/>
    <w:rsid w:val="007B15C2"/>
    <w:rsid w:val="007B1A13"/>
    <w:rsid w:val="007B3542"/>
    <w:rsid w:val="007C02C1"/>
    <w:rsid w:val="007C1589"/>
    <w:rsid w:val="007C2F12"/>
    <w:rsid w:val="007C303C"/>
    <w:rsid w:val="007C36B5"/>
    <w:rsid w:val="007C49D1"/>
    <w:rsid w:val="007C59FC"/>
    <w:rsid w:val="007C6567"/>
    <w:rsid w:val="007C65E0"/>
    <w:rsid w:val="007D0DD0"/>
    <w:rsid w:val="007D0F2F"/>
    <w:rsid w:val="007D1776"/>
    <w:rsid w:val="007D6EE1"/>
    <w:rsid w:val="007E1ECA"/>
    <w:rsid w:val="007E2E9C"/>
    <w:rsid w:val="007E6371"/>
    <w:rsid w:val="007E697E"/>
    <w:rsid w:val="007F093F"/>
    <w:rsid w:val="007F1452"/>
    <w:rsid w:val="007F14FA"/>
    <w:rsid w:val="007F1851"/>
    <w:rsid w:val="007F1CA4"/>
    <w:rsid w:val="007F5582"/>
    <w:rsid w:val="007F5C0F"/>
    <w:rsid w:val="007F6002"/>
    <w:rsid w:val="007F656B"/>
    <w:rsid w:val="007F7030"/>
    <w:rsid w:val="007F7232"/>
    <w:rsid w:val="007F758E"/>
    <w:rsid w:val="007F7B59"/>
    <w:rsid w:val="008025EF"/>
    <w:rsid w:val="0080361B"/>
    <w:rsid w:val="00803953"/>
    <w:rsid w:val="00806DE7"/>
    <w:rsid w:val="0080739D"/>
    <w:rsid w:val="00807460"/>
    <w:rsid w:val="00810AF7"/>
    <w:rsid w:val="00811117"/>
    <w:rsid w:val="008113E6"/>
    <w:rsid w:val="008124CF"/>
    <w:rsid w:val="00814B10"/>
    <w:rsid w:val="00814B70"/>
    <w:rsid w:val="008151F0"/>
    <w:rsid w:val="00815A55"/>
    <w:rsid w:val="008161EB"/>
    <w:rsid w:val="008163AC"/>
    <w:rsid w:val="00816430"/>
    <w:rsid w:val="00816608"/>
    <w:rsid w:val="00816B4C"/>
    <w:rsid w:val="00816D2E"/>
    <w:rsid w:val="00820338"/>
    <w:rsid w:val="00821457"/>
    <w:rsid w:val="00822A1E"/>
    <w:rsid w:val="00823B43"/>
    <w:rsid w:val="00824FC3"/>
    <w:rsid w:val="00825759"/>
    <w:rsid w:val="00825877"/>
    <w:rsid w:val="00825946"/>
    <w:rsid w:val="00825E0B"/>
    <w:rsid w:val="00831692"/>
    <w:rsid w:val="00831702"/>
    <w:rsid w:val="00831AA2"/>
    <w:rsid w:val="00833DD7"/>
    <w:rsid w:val="00834F5B"/>
    <w:rsid w:val="008361ED"/>
    <w:rsid w:val="0083635A"/>
    <w:rsid w:val="008365C8"/>
    <w:rsid w:val="00836E78"/>
    <w:rsid w:val="0084147D"/>
    <w:rsid w:val="00844EB0"/>
    <w:rsid w:val="0084722B"/>
    <w:rsid w:val="008479EE"/>
    <w:rsid w:val="00850866"/>
    <w:rsid w:val="00851DA7"/>
    <w:rsid w:val="0085299E"/>
    <w:rsid w:val="00853802"/>
    <w:rsid w:val="00853B40"/>
    <w:rsid w:val="00856F93"/>
    <w:rsid w:val="008612C4"/>
    <w:rsid w:val="0086268D"/>
    <w:rsid w:val="0086321C"/>
    <w:rsid w:val="008637CF"/>
    <w:rsid w:val="00865396"/>
    <w:rsid w:val="00865513"/>
    <w:rsid w:val="008655B9"/>
    <w:rsid w:val="008658D2"/>
    <w:rsid w:val="008675D4"/>
    <w:rsid w:val="0087266C"/>
    <w:rsid w:val="008726F1"/>
    <w:rsid w:val="00872B8A"/>
    <w:rsid w:val="00872E4B"/>
    <w:rsid w:val="00873573"/>
    <w:rsid w:val="00874A40"/>
    <w:rsid w:val="0087511F"/>
    <w:rsid w:val="00876521"/>
    <w:rsid w:val="008766C9"/>
    <w:rsid w:val="0088164D"/>
    <w:rsid w:val="00882D6D"/>
    <w:rsid w:val="00884825"/>
    <w:rsid w:val="00884D10"/>
    <w:rsid w:val="0088517F"/>
    <w:rsid w:val="008856A3"/>
    <w:rsid w:val="00885816"/>
    <w:rsid w:val="00886BEF"/>
    <w:rsid w:val="00887FE3"/>
    <w:rsid w:val="008917D7"/>
    <w:rsid w:val="0089240E"/>
    <w:rsid w:val="00893462"/>
    <w:rsid w:val="0089406E"/>
    <w:rsid w:val="008940D8"/>
    <w:rsid w:val="00894572"/>
    <w:rsid w:val="008951D3"/>
    <w:rsid w:val="008953F1"/>
    <w:rsid w:val="00896D39"/>
    <w:rsid w:val="0089736A"/>
    <w:rsid w:val="008978E2"/>
    <w:rsid w:val="00897911"/>
    <w:rsid w:val="008A0B27"/>
    <w:rsid w:val="008A1049"/>
    <w:rsid w:val="008A32D9"/>
    <w:rsid w:val="008A35F7"/>
    <w:rsid w:val="008A3876"/>
    <w:rsid w:val="008A590C"/>
    <w:rsid w:val="008A5D2D"/>
    <w:rsid w:val="008B099A"/>
    <w:rsid w:val="008B35E6"/>
    <w:rsid w:val="008B3F0E"/>
    <w:rsid w:val="008B53F6"/>
    <w:rsid w:val="008B575F"/>
    <w:rsid w:val="008B6B8A"/>
    <w:rsid w:val="008B7710"/>
    <w:rsid w:val="008B7A73"/>
    <w:rsid w:val="008C06A6"/>
    <w:rsid w:val="008C17DA"/>
    <w:rsid w:val="008C1A0D"/>
    <w:rsid w:val="008C2153"/>
    <w:rsid w:val="008C3EB5"/>
    <w:rsid w:val="008C4BEB"/>
    <w:rsid w:val="008C4C37"/>
    <w:rsid w:val="008C61C8"/>
    <w:rsid w:val="008D136A"/>
    <w:rsid w:val="008D3411"/>
    <w:rsid w:val="008D3755"/>
    <w:rsid w:val="008D57A4"/>
    <w:rsid w:val="008D5CBD"/>
    <w:rsid w:val="008D6EF2"/>
    <w:rsid w:val="008E057A"/>
    <w:rsid w:val="008E1A88"/>
    <w:rsid w:val="008E1D90"/>
    <w:rsid w:val="008E20B9"/>
    <w:rsid w:val="008E3F48"/>
    <w:rsid w:val="008E4C8E"/>
    <w:rsid w:val="008E61A6"/>
    <w:rsid w:val="008E71FD"/>
    <w:rsid w:val="008F03DC"/>
    <w:rsid w:val="008F147E"/>
    <w:rsid w:val="008F155C"/>
    <w:rsid w:val="008F23E7"/>
    <w:rsid w:val="008F2AA2"/>
    <w:rsid w:val="008F2DCD"/>
    <w:rsid w:val="008F30A1"/>
    <w:rsid w:val="008F490D"/>
    <w:rsid w:val="008F7CC9"/>
    <w:rsid w:val="00900AAF"/>
    <w:rsid w:val="0090154E"/>
    <w:rsid w:val="00901792"/>
    <w:rsid w:val="0090189C"/>
    <w:rsid w:val="00901E52"/>
    <w:rsid w:val="009036E8"/>
    <w:rsid w:val="009045A8"/>
    <w:rsid w:val="00910794"/>
    <w:rsid w:val="009111BF"/>
    <w:rsid w:val="00911C44"/>
    <w:rsid w:val="00911EF6"/>
    <w:rsid w:val="00911F3F"/>
    <w:rsid w:val="009167AD"/>
    <w:rsid w:val="00926E66"/>
    <w:rsid w:val="00927872"/>
    <w:rsid w:val="0092797B"/>
    <w:rsid w:val="00927F0F"/>
    <w:rsid w:val="00930157"/>
    <w:rsid w:val="009315B8"/>
    <w:rsid w:val="009326F1"/>
    <w:rsid w:val="00933211"/>
    <w:rsid w:val="0093340F"/>
    <w:rsid w:val="00934452"/>
    <w:rsid w:val="00936003"/>
    <w:rsid w:val="00937165"/>
    <w:rsid w:val="00937791"/>
    <w:rsid w:val="00937A68"/>
    <w:rsid w:val="009403CA"/>
    <w:rsid w:val="00940B1C"/>
    <w:rsid w:val="00942BD5"/>
    <w:rsid w:val="00944C36"/>
    <w:rsid w:val="0094588D"/>
    <w:rsid w:val="00945B09"/>
    <w:rsid w:val="00950781"/>
    <w:rsid w:val="00950A0D"/>
    <w:rsid w:val="00950CAB"/>
    <w:rsid w:val="00952086"/>
    <w:rsid w:val="00954561"/>
    <w:rsid w:val="00954A3E"/>
    <w:rsid w:val="0095721D"/>
    <w:rsid w:val="009572D9"/>
    <w:rsid w:val="00957EA5"/>
    <w:rsid w:val="0096600E"/>
    <w:rsid w:val="009663D0"/>
    <w:rsid w:val="00970864"/>
    <w:rsid w:val="0097140F"/>
    <w:rsid w:val="0097345F"/>
    <w:rsid w:val="0097400B"/>
    <w:rsid w:val="009749BD"/>
    <w:rsid w:val="00975A52"/>
    <w:rsid w:val="00976363"/>
    <w:rsid w:val="009774EC"/>
    <w:rsid w:val="00977B5A"/>
    <w:rsid w:val="00980D8C"/>
    <w:rsid w:val="00981667"/>
    <w:rsid w:val="00984E41"/>
    <w:rsid w:val="009863F7"/>
    <w:rsid w:val="00987028"/>
    <w:rsid w:val="0098749A"/>
    <w:rsid w:val="00987A6E"/>
    <w:rsid w:val="009917D2"/>
    <w:rsid w:val="00991C5A"/>
    <w:rsid w:val="00991DCC"/>
    <w:rsid w:val="009923E7"/>
    <w:rsid w:val="009927FB"/>
    <w:rsid w:val="00993514"/>
    <w:rsid w:val="00994207"/>
    <w:rsid w:val="00994262"/>
    <w:rsid w:val="0099493F"/>
    <w:rsid w:val="00994974"/>
    <w:rsid w:val="00997CBB"/>
    <w:rsid w:val="00997D32"/>
    <w:rsid w:val="009A0604"/>
    <w:rsid w:val="009A2285"/>
    <w:rsid w:val="009A26A1"/>
    <w:rsid w:val="009A2EAB"/>
    <w:rsid w:val="009A561D"/>
    <w:rsid w:val="009A63E1"/>
    <w:rsid w:val="009A66F2"/>
    <w:rsid w:val="009A6E2B"/>
    <w:rsid w:val="009B0218"/>
    <w:rsid w:val="009B13C1"/>
    <w:rsid w:val="009B1F66"/>
    <w:rsid w:val="009B47ED"/>
    <w:rsid w:val="009B49EF"/>
    <w:rsid w:val="009B4CF8"/>
    <w:rsid w:val="009B4D35"/>
    <w:rsid w:val="009B66ED"/>
    <w:rsid w:val="009B6A9B"/>
    <w:rsid w:val="009B768B"/>
    <w:rsid w:val="009B789A"/>
    <w:rsid w:val="009C0420"/>
    <w:rsid w:val="009C0B86"/>
    <w:rsid w:val="009C18AA"/>
    <w:rsid w:val="009C1927"/>
    <w:rsid w:val="009C28A7"/>
    <w:rsid w:val="009C2C61"/>
    <w:rsid w:val="009C35B3"/>
    <w:rsid w:val="009C4826"/>
    <w:rsid w:val="009C4FE8"/>
    <w:rsid w:val="009C5278"/>
    <w:rsid w:val="009D04C5"/>
    <w:rsid w:val="009D0619"/>
    <w:rsid w:val="009D0690"/>
    <w:rsid w:val="009D274B"/>
    <w:rsid w:val="009D27AD"/>
    <w:rsid w:val="009D5130"/>
    <w:rsid w:val="009D581F"/>
    <w:rsid w:val="009D5C9F"/>
    <w:rsid w:val="009D707F"/>
    <w:rsid w:val="009D7762"/>
    <w:rsid w:val="009D7E10"/>
    <w:rsid w:val="009E0847"/>
    <w:rsid w:val="009E1487"/>
    <w:rsid w:val="009E17E8"/>
    <w:rsid w:val="009E1B43"/>
    <w:rsid w:val="009E1CA5"/>
    <w:rsid w:val="009E5B51"/>
    <w:rsid w:val="009E6063"/>
    <w:rsid w:val="009E60B0"/>
    <w:rsid w:val="009E7731"/>
    <w:rsid w:val="009E7E60"/>
    <w:rsid w:val="009F0DB6"/>
    <w:rsid w:val="009F155A"/>
    <w:rsid w:val="009F1E51"/>
    <w:rsid w:val="009F36E2"/>
    <w:rsid w:val="009F3F3C"/>
    <w:rsid w:val="009F3F4C"/>
    <w:rsid w:val="009F4F4D"/>
    <w:rsid w:val="009F6CF5"/>
    <w:rsid w:val="009F7E59"/>
    <w:rsid w:val="00A0063E"/>
    <w:rsid w:val="00A032BD"/>
    <w:rsid w:val="00A05B20"/>
    <w:rsid w:val="00A05DAD"/>
    <w:rsid w:val="00A06923"/>
    <w:rsid w:val="00A06EF8"/>
    <w:rsid w:val="00A07242"/>
    <w:rsid w:val="00A0727A"/>
    <w:rsid w:val="00A07367"/>
    <w:rsid w:val="00A07DDA"/>
    <w:rsid w:val="00A11F3A"/>
    <w:rsid w:val="00A12C99"/>
    <w:rsid w:val="00A13072"/>
    <w:rsid w:val="00A152E2"/>
    <w:rsid w:val="00A16F56"/>
    <w:rsid w:val="00A20416"/>
    <w:rsid w:val="00A220BC"/>
    <w:rsid w:val="00A221B9"/>
    <w:rsid w:val="00A23A87"/>
    <w:rsid w:val="00A24033"/>
    <w:rsid w:val="00A24507"/>
    <w:rsid w:val="00A25273"/>
    <w:rsid w:val="00A25496"/>
    <w:rsid w:val="00A30113"/>
    <w:rsid w:val="00A30137"/>
    <w:rsid w:val="00A30F7A"/>
    <w:rsid w:val="00A32181"/>
    <w:rsid w:val="00A37832"/>
    <w:rsid w:val="00A40F98"/>
    <w:rsid w:val="00A42AEA"/>
    <w:rsid w:val="00A437DF"/>
    <w:rsid w:val="00A43AA7"/>
    <w:rsid w:val="00A445B9"/>
    <w:rsid w:val="00A44619"/>
    <w:rsid w:val="00A44907"/>
    <w:rsid w:val="00A449FE"/>
    <w:rsid w:val="00A465CD"/>
    <w:rsid w:val="00A477BD"/>
    <w:rsid w:val="00A47B30"/>
    <w:rsid w:val="00A51E90"/>
    <w:rsid w:val="00A533F3"/>
    <w:rsid w:val="00A5380D"/>
    <w:rsid w:val="00A5402E"/>
    <w:rsid w:val="00A549B8"/>
    <w:rsid w:val="00A6154B"/>
    <w:rsid w:val="00A61E60"/>
    <w:rsid w:val="00A62C6D"/>
    <w:rsid w:val="00A63E76"/>
    <w:rsid w:val="00A64166"/>
    <w:rsid w:val="00A66705"/>
    <w:rsid w:val="00A67319"/>
    <w:rsid w:val="00A673B2"/>
    <w:rsid w:val="00A67D9F"/>
    <w:rsid w:val="00A70D0F"/>
    <w:rsid w:val="00A73A2A"/>
    <w:rsid w:val="00A73D67"/>
    <w:rsid w:val="00A8238B"/>
    <w:rsid w:val="00A82736"/>
    <w:rsid w:val="00A835D5"/>
    <w:rsid w:val="00A85275"/>
    <w:rsid w:val="00A866A1"/>
    <w:rsid w:val="00A87786"/>
    <w:rsid w:val="00A914FB"/>
    <w:rsid w:val="00A926CD"/>
    <w:rsid w:val="00A93A3D"/>
    <w:rsid w:val="00A93C43"/>
    <w:rsid w:val="00A94D41"/>
    <w:rsid w:val="00A954D0"/>
    <w:rsid w:val="00A96EE5"/>
    <w:rsid w:val="00AA1371"/>
    <w:rsid w:val="00AA14F4"/>
    <w:rsid w:val="00AA42FB"/>
    <w:rsid w:val="00AA5BE1"/>
    <w:rsid w:val="00AA6131"/>
    <w:rsid w:val="00AA7381"/>
    <w:rsid w:val="00AA73CF"/>
    <w:rsid w:val="00AA784D"/>
    <w:rsid w:val="00AA7E95"/>
    <w:rsid w:val="00AB1AA6"/>
    <w:rsid w:val="00AB4F6D"/>
    <w:rsid w:val="00AB5DEF"/>
    <w:rsid w:val="00AB6E92"/>
    <w:rsid w:val="00AC568E"/>
    <w:rsid w:val="00AC5768"/>
    <w:rsid w:val="00AC5877"/>
    <w:rsid w:val="00AC67A3"/>
    <w:rsid w:val="00AC73BB"/>
    <w:rsid w:val="00AC7711"/>
    <w:rsid w:val="00AC7792"/>
    <w:rsid w:val="00AC77BA"/>
    <w:rsid w:val="00AD13A7"/>
    <w:rsid w:val="00AD2553"/>
    <w:rsid w:val="00AD31FE"/>
    <w:rsid w:val="00AD4851"/>
    <w:rsid w:val="00AD5565"/>
    <w:rsid w:val="00AD5EFF"/>
    <w:rsid w:val="00AD5FE6"/>
    <w:rsid w:val="00AD68EF"/>
    <w:rsid w:val="00AD6D81"/>
    <w:rsid w:val="00AD7E04"/>
    <w:rsid w:val="00AD7F08"/>
    <w:rsid w:val="00AE399C"/>
    <w:rsid w:val="00AE4660"/>
    <w:rsid w:val="00AE51FC"/>
    <w:rsid w:val="00AE5762"/>
    <w:rsid w:val="00AE69E9"/>
    <w:rsid w:val="00AF00F9"/>
    <w:rsid w:val="00AF1CC4"/>
    <w:rsid w:val="00AF1E02"/>
    <w:rsid w:val="00AF457A"/>
    <w:rsid w:val="00AF482D"/>
    <w:rsid w:val="00AF51AB"/>
    <w:rsid w:val="00AF6CCA"/>
    <w:rsid w:val="00AF73E9"/>
    <w:rsid w:val="00B00421"/>
    <w:rsid w:val="00B012D0"/>
    <w:rsid w:val="00B0157E"/>
    <w:rsid w:val="00B015CC"/>
    <w:rsid w:val="00B02218"/>
    <w:rsid w:val="00B06DCA"/>
    <w:rsid w:val="00B07154"/>
    <w:rsid w:val="00B07C8E"/>
    <w:rsid w:val="00B07D4E"/>
    <w:rsid w:val="00B125A8"/>
    <w:rsid w:val="00B16CED"/>
    <w:rsid w:val="00B16DA7"/>
    <w:rsid w:val="00B2007F"/>
    <w:rsid w:val="00B21A61"/>
    <w:rsid w:val="00B224F0"/>
    <w:rsid w:val="00B23ED2"/>
    <w:rsid w:val="00B241DA"/>
    <w:rsid w:val="00B25262"/>
    <w:rsid w:val="00B255E5"/>
    <w:rsid w:val="00B25A3B"/>
    <w:rsid w:val="00B25D94"/>
    <w:rsid w:val="00B267B0"/>
    <w:rsid w:val="00B30D31"/>
    <w:rsid w:val="00B33743"/>
    <w:rsid w:val="00B34A4C"/>
    <w:rsid w:val="00B3649B"/>
    <w:rsid w:val="00B36877"/>
    <w:rsid w:val="00B36DFC"/>
    <w:rsid w:val="00B41BE6"/>
    <w:rsid w:val="00B42A58"/>
    <w:rsid w:val="00B43D05"/>
    <w:rsid w:val="00B44FCE"/>
    <w:rsid w:val="00B45F68"/>
    <w:rsid w:val="00B462E9"/>
    <w:rsid w:val="00B50188"/>
    <w:rsid w:val="00B50600"/>
    <w:rsid w:val="00B50D17"/>
    <w:rsid w:val="00B51D8A"/>
    <w:rsid w:val="00B52E51"/>
    <w:rsid w:val="00B53FEB"/>
    <w:rsid w:val="00B56986"/>
    <w:rsid w:val="00B56BF9"/>
    <w:rsid w:val="00B61B91"/>
    <w:rsid w:val="00B62920"/>
    <w:rsid w:val="00B63490"/>
    <w:rsid w:val="00B645A8"/>
    <w:rsid w:val="00B66B4E"/>
    <w:rsid w:val="00B66BBF"/>
    <w:rsid w:val="00B6742D"/>
    <w:rsid w:val="00B724DF"/>
    <w:rsid w:val="00B726FC"/>
    <w:rsid w:val="00B7270F"/>
    <w:rsid w:val="00B76005"/>
    <w:rsid w:val="00B77C87"/>
    <w:rsid w:val="00B804B9"/>
    <w:rsid w:val="00B807FD"/>
    <w:rsid w:val="00B80FC3"/>
    <w:rsid w:val="00B815D4"/>
    <w:rsid w:val="00B8203E"/>
    <w:rsid w:val="00B822F8"/>
    <w:rsid w:val="00B83278"/>
    <w:rsid w:val="00B83B58"/>
    <w:rsid w:val="00B843EE"/>
    <w:rsid w:val="00B85CE4"/>
    <w:rsid w:val="00B86977"/>
    <w:rsid w:val="00B86E45"/>
    <w:rsid w:val="00B87538"/>
    <w:rsid w:val="00B92495"/>
    <w:rsid w:val="00B930D1"/>
    <w:rsid w:val="00B960EA"/>
    <w:rsid w:val="00B97C80"/>
    <w:rsid w:val="00BA0F5B"/>
    <w:rsid w:val="00BA1556"/>
    <w:rsid w:val="00BA1DDB"/>
    <w:rsid w:val="00BA2D7C"/>
    <w:rsid w:val="00BB0B51"/>
    <w:rsid w:val="00BB1081"/>
    <w:rsid w:val="00BB18A5"/>
    <w:rsid w:val="00BB5328"/>
    <w:rsid w:val="00BB6721"/>
    <w:rsid w:val="00BB6D67"/>
    <w:rsid w:val="00BC4DA7"/>
    <w:rsid w:val="00BC568C"/>
    <w:rsid w:val="00BC607D"/>
    <w:rsid w:val="00BC6CD8"/>
    <w:rsid w:val="00BD00C3"/>
    <w:rsid w:val="00BD07E7"/>
    <w:rsid w:val="00BD0C95"/>
    <w:rsid w:val="00BD28B4"/>
    <w:rsid w:val="00BD2925"/>
    <w:rsid w:val="00BD38EE"/>
    <w:rsid w:val="00BD43B1"/>
    <w:rsid w:val="00BD54FE"/>
    <w:rsid w:val="00BD692D"/>
    <w:rsid w:val="00BD7C9C"/>
    <w:rsid w:val="00BE16A0"/>
    <w:rsid w:val="00BE43F5"/>
    <w:rsid w:val="00BE4A07"/>
    <w:rsid w:val="00BE5617"/>
    <w:rsid w:val="00BE6093"/>
    <w:rsid w:val="00BE60F8"/>
    <w:rsid w:val="00BF230C"/>
    <w:rsid w:val="00BF317F"/>
    <w:rsid w:val="00BF42E7"/>
    <w:rsid w:val="00BF4A66"/>
    <w:rsid w:val="00BF509D"/>
    <w:rsid w:val="00BF7255"/>
    <w:rsid w:val="00C0000E"/>
    <w:rsid w:val="00C00A3A"/>
    <w:rsid w:val="00C023C6"/>
    <w:rsid w:val="00C02D0C"/>
    <w:rsid w:val="00C03569"/>
    <w:rsid w:val="00C055F9"/>
    <w:rsid w:val="00C05A94"/>
    <w:rsid w:val="00C0731E"/>
    <w:rsid w:val="00C127DC"/>
    <w:rsid w:val="00C13219"/>
    <w:rsid w:val="00C1350C"/>
    <w:rsid w:val="00C13A74"/>
    <w:rsid w:val="00C13FB0"/>
    <w:rsid w:val="00C201C7"/>
    <w:rsid w:val="00C20453"/>
    <w:rsid w:val="00C221F8"/>
    <w:rsid w:val="00C2264B"/>
    <w:rsid w:val="00C2375C"/>
    <w:rsid w:val="00C2428D"/>
    <w:rsid w:val="00C26546"/>
    <w:rsid w:val="00C31A87"/>
    <w:rsid w:val="00C31F1F"/>
    <w:rsid w:val="00C320AE"/>
    <w:rsid w:val="00C329A3"/>
    <w:rsid w:val="00C36885"/>
    <w:rsid w:val="00C376EA"/>
    <w:rsid w:val="00C41622"/>
    <w:rsid w:val="00C44BD1"/>
    <w:rsid w:val="00C45577"/>
    <w:rsid w:val="00C45A68"/>
    <w:rsid w:val="00C4646C"/>
    <w:rsid w:val="00C46754"/>
    <w:rsid w:val="00C46FD8"/>
    <w:rsid w:val="00C4755E"/>
    <w:rsid w:val="00C47853"/>
    <w:rsid w:val="00C50C41"/>
    <w:rsid w:val="00C50E53"/>
    <w:rsid w:val="00C526FF"/>
    <w:rsid w:val="00C5651A"/>
    <w:rsid w:val="00C60A2C"/>
    <w:rsid w:val="00C60F5E"/>
    <w:rsid w:val="00C625EA"/>
    <w:rsid w:val="00C64319"/>
    <w:rsid w:val="00C728F0"/>
    <w:rsid w:val="00C73131"/>
    <w:rsid w:val="00C734AD"/>
    <w:rsid w:val="00C74A8E"/>
    <w:rsid w:val="00C75650"/>
    <w:rsid w:val="00C75A82"/>
    <w:rsid w:val="00C75B26"/>
    <w:rsid w:val="00C75E5A"/>
    <w:rsid w:val="00C76DE5"/>
    <w:rsid w:val="00C76FCF"/>
    <w:rsid w:val="00C81706"/>
    <w:rsid w:val="00C81EF3"/>
    <w:rsid w:val="00C84599"/>
    <w:rsid w:val="00C84D23"/>
    <w:rsid w:val="00C86523"/>
    <w:rsid w:val="00C90500"/>
    <w:rsid w:val="00C905F1"/>
    <w:rsid w:val="00C90FAD"/>
    <w:rsid w:val="00C91261"/>
    <w:rsid w:val="00C916D9"/>
    <w:rsid w:val="00C921ED"/>
    <w:rsid w:val="00C9258D"/>
    <w:rsid w:val="00C945B3"/>
    <w:rsid w:val="00C9551F"/>
    <w:rsid w:val="00C955A0"/>
    <w:rsid w:val="00C961DD"/>
    <w:rsid w:val="00C96E3C"/>
    <w:rsid w:val="00CA0A06"/>
    <w:rsid w:val="00CA1155"/>
    <w:rsid w:val="00CA379B"/>
    <w:rsid w:val="00CA3E87"/>
    <w:rsid w:val="00CA646D"/>
    <w:rsid w:val="00CA6D64"/>
    <w:rsid w:val="00CA77AB"/>
    <w:rsid w:val="00CB0C30"/>
    <w:rsid w:val="00CB0EAA"/>
    <w:rsid w:val="00CB1306"/>
    <w:rsid w:val="00CB2DE1"/>
    <w:rsid w:val="00CB34A0"/>
    <w:rsid w:val="00CB50DF"/>
    <w:rsid w:val="00CB5AAD"/>
    <w:rsid w:val="00CB6245"/>
    <w:rsid w:val="00CB6545"/>
    <w:rsid w:val="00CC223C"/>
    <w:rsid w:val="00CC2755"/>
    <w:rsid w:val="00CC51DA"/>
    <w:rsid w:val="00CC6B19"/>
    <w:rsid w:val="00CC7126"/>
    <w:rsid w:val="00CC7B53"/>
    <w:rsid w:val="00CD39BE"/>
    <w:rsid w:val="00CD3EBE"/>
    <w:rsid w:val="00CD43B3"/>
    <w:rsid w:val="00CD4993"/>
    <w:rsid w:val="00CD6D04"/>
    <w:rsid w:val="00CD6EFB"/>
    <w:rsid w:val="00CD7BC0"/>
    <w:rsid w:val="00CE030B"/>
    <w:rsid w:val="00CE1148"/>
    <w:rsid w:val="00CE17B7"/>
    <w:rsid w:val="00CE1874"/>
    <w:rsid w:val="00CE1F33"/>
    <w:rsid w:val="00CE355C"/>
    <w:rsid w:val="00CE4137"/>
    <w:rsid w:val="00CE437F"/>
    <w:rsid w:val="00CE4484"/>
    <w:rsid w:val="00CE5788"/>
    <w:rsid w:val="00CE7998"/>
    <w:rsid w:val="00CF45E9"/>
    <w:rsid w:val="00CF4DD4"/>
    <w:rsid w:val="00CF563C"/>
    <w:rsid w:val="00CF7241"/>
    <w:rsid w:val="00D01AD3"/>
    <w:rsid w:val="00D0220B"/>
    <w:rsid w:val="00D03F27"/>
    <w:rsid w:val="00D057AF"/>
    <w:rsid w:val="00D05FAB"/>
    <w:rsid w:val="00D07CE3"/>
    <w:rsid w:val="00D112F1"/>
    <w:rsid w:val="00D12979"/>
    <w:rsid w:val="00D142E8"/>
    <w:rsid w:val="00D145C3"/>
    <w:rsid w:val="00D14D16"/>
    <w:rsid w:val="00D15BA1"/>
    <w:rsid w:val="00D16041"/>
    <w:rsid w:val="00D21BB0"/>
    <w:rsid w:val="00D225E7"/>
    <w:rsid w:val="00D23B40"/>
    <w:rsid w:val="00D23CC6"/>
    <w:rsid w:val="00D242DC"/>
    <w:rsid w:val="00D26C6F"/>
    <w:rsid w:val="00D27239"/>
    <w:rsid w:val="00D27B94"/>
    <w:rsid w:val="00D27F47"/>
    <w:rsid w:val="00D303D3"/>
    <w:rsid w:val="00D30AEA"/>
    <w:rsid w:val="00D30F4B"/>
    <w:rsid w:val="00D30FFE"/>
    <w:rsid w:val="00D33920"/>
    <w:rsid w:val="00D34351"/>
    <w:rsid w:val="00D351CA"/>
    <w:rsid w:val="00D4242C"/>
    <w:rsid w:val="00D42A9B"/>
    <w:rsid w:val="00D44039"/>
    <w:rsid w:val="00D44690"/>
    <w:rsid w:val="00D447D2"/>
    <w:rsid w:val="00D4567F"/>
    <w:rsid w:val="00D47CF9"/>
    <w:rsid w:val="00D47E53"/>
    <w:rsid w:val="00D5239B"/>
    <w:rsid w:val="00D5312D"/>
    <w:rsid w:val="00D533EA"/>
    <w:rsid w:val="00D54098"/>
    <w:rsid w:val="00D5673C"/>
    <w:rsid w:val="00D57D31"/>
    <w:rsid w:val="00D608AD"/>
    <w:rsid w:val="00D62874"/>
    <w:rsid w:val="00D640F7"/>
    <w:rsid w:val="00D64ACA"/>
    <w:rsid w:val="00D65E11"/>
    <w:rsid w:val="00D679B8"/>
    <w:rsid w:val="00D701E0"/>
    <w:rsid w:val="00D70475"/>
    <w:rsid w:val="00D705B2"/>
    <w:rsid w:val="00D70702"/>
    <w:rsid w:val="00D7091A"/>
    <w:rsid w:val="00D72022"/>
    <w:rsid w:val="00D7394E"/>
    <w:rsid w:val="00D73B1D"/>
    <w:rsid w:val="00D75560"/>
    <w:rsid w:val="00D76B47"/>
    <w:rsid w:val="00D76CDF"/>
    <w:rsid w:val="00D80D13"/>
    <w:rsid w:val="00D81EA2"/>
    <w:rsid w:val="00D8354F"/>
    <w:rsid w:val="00D84021"/>
    <w:rsid w:val="00D848CA"/>
    <w:rsid w:val="00D84C1C"/>
    <w:rsid w:val="00D8534B"/>
    <w:rsid w:val="00D85B39"/>
    <w:rsid w:val="00D876B6"/>
    <w:rsid w:val="00D87DE2"/>
    <w:rsid w:val="00D90EE2"/>
    <w:rsid w:val="00D92178"/>
    <w:rsid w:val="00D9429B"/>
    <w:rsid w:val="00D972B7"/>
    <w:rsid w:val="00DA1C65"/>
    <w:rsid w:val="00DA40CA"/>
    <w:rsid w:val="00DA4E09"/>
    <w:rsid w:val="00DA6731"/>
    <w:rsid w:val="00DA770F"/>
    <w:rsid w:val="00DB0F35"/>
    <w:rsid w:val="00DB3628"/>
    <w:rsid w:val="00DB4BC9"/>
    <w:rsid w:val="00DB53A9"/>
    <w:rsid w:val="00DB77A0"/>
    <w:rsid w:val="00DB7B75"/>
    <w:rsid w:val="00DC138E"/>
    <w:rsid w:val="00DC2A41"/>
    <w:rsid w:val="00DC430A"/>
    <w:rsid w:val="00DC694D"/>
    <w:rsid w:val="00DD03C6"/>
    <w:rsid w:val="00DD09F1"/>
    <w:rsid w:val="00DD0CA4"/>
    <w:rsid w:val="00DD1AE5"/>
    <w:rsid w:val="00DD20FA"/>
    <w:rsid w:val="00DD2E5D"/>
    <w:rsid w:val="00DD33CB"/>
    <w:rsid w:val="00DD544E"/>
    <w:rsid w:val="00DD5FEF"/>
    <w:rsid w:val="00DD6C82"/>
    <w:rsid w:val="00DD7F16"/>
    <w:rsid w:val="00DE0BE0"/>
    <w:rsid w:val="00DE140C"/>
    <w:rsid w:val="00DE3AA6"/>
    <w:rsid w:val="00DE5F7E"/>
    <w:rsid w:val="00DE67C5"/>
    <w:rsid w:val="00DE6C97"/>
    <w:rsid w:val="00DE6CE0"/>
    <w:rsid w:val="00DE6EDF"/>
    <w:rsid w:val="00DE7D84"/>
    <w:rsid w:val="00DF191D"/>
    <w:rsid w:val="00DF1F88"/>
    <w:rsid w:val="00DF223F"/>
    <w:rsid w:val="00DF2EAB"/>
    <w:rsid w:val="00DF44E4"/>
    <w:rsid w:val="00DF69BC"/>
    <w:rsid w:val="00DF6BC4"/>
    <w:rsid w:val="00DF762D"/>
    <w:rsid w:val="00E000BF"/>
    <w:rsid w:val="00E03D6F"/>
    <w:rsid w:val="00E047AB"/>
    <w:rsid w:val="00E05670"/>
    <w:rsid w:val="00E05D76"/>
    <w:rsid w:val="00E070CD"/>
    <w:rsid w:val="00E0761C"/>
    <w:rsid w:val="00E07C8C"/>
    <w:rsid w:val="00E10646"/>
    <w:rsid w:val="00E114D9"/>
    <w:rsid w:val="00E13348"/>
    <w:rsid w:val="00E13615"/>
    <w:rsid w:val="00E1480A"/>
    <w:rsid w:val="00E15DA1"/>
    <w:rsid w:val="00E16A1B"/>
    <w:rsid w:val="00E16F1D"/>
    <w:rsid w:val="00E17B97"/>
    <w:rsid w:val="00E200BD"/>
    <w:rsid w:val="00E20835"/>
    <w:rsid w:val="00E20A18"/>
    <w:rsid w:val="00E21130"/>
    <w:rsid w:val="00E23235"/>
    <w:rsid w:val="00E23A1F"/>
    <w:rsid w:val="00E2443D"/>
    <w:rsid w:val="00E25041"/>
    <w:rsid w:val="00E26D58"/>
    <w:rsid w:val="00E27762"/>
    <w:rsid w:val="00E27F0F"/>
    <w:rsid w:val="00E30116"/>
    <w:rsid w:val="00E30E64"/>
    <w:rsid w:val="00E31976"/>
    <w:rsid w:val="00E327E1"/>
    <w:rsid w:val="00E35231"/>
    <w:rsid w:val="00E35F59"/>
    <w:rsid w:val="00E36FD3"/>
    <w:rsid w:val="00E37EC5"/>
    <w:rsid w:val="00E41A62"/>
    <w:rsid w:val="00E44394"/>
    <w:rsid w:val="00E4729C"/>
    <w:rsid w:val="00E500EB"/>
    <w:rsid w:val="00E505FB"/>
    <w:rsid w:val="00E50857"/>
    <w:rsid w:val="00E511D6"/>
    <w:rsid w:val="00E5137D"/>
    <w:rsid w:val="00E521EC"/>
    <w:rsid w:val="00E53F71"/>
    <w:rsid w:val="00E541F9"/>
    <w:rsid w:val="00E54208"/>
    <w:rsid w:val="00E60683"/>
    <w:rsid w:val="00E60A24"/>
    <w:rsid w:val="00E60FA8"/>
    <w:rsid w:val="00E646A4"/>
    <w:rsid w:val="00E646BB"/>
    <w:rsid w:val="00E64D10"/>
    <w:rsid w:val="00E66946"/>
    <w:rsid w:val="00E6706B"/>
    <w:rsid w:val="00E67FC2"/>
    <w:rsid w:val="00E7030E"/>
    <w:rsid w:val="00E72180"/>
    <w:rsid w:val="00E73687"/>
    <w:rsid w:val="00E74C85"/>
    <w:rsid w:val="00E75490"/>
    <w:rsid w:val="00E7633D"/>
    <w:rsid w:val="00E764CC"/>
    <w:rsid w:val="00E77C72"/>
    <w:rsid w:val="00E81C89"/>
    <w:rsid w:val="00E825C6"/>
    <w:rsid w:val="00E84691"/>
    <w:rsid w:val="00E84F72"/>
    <w:rsid w:val="00E850EE"/>
    <w:rsid w:val="00E85EAC"/>
    <w:rsid w:val="00E879A0"/>
    <w:rsid w:val="00E922BC"/>
    <w:rsid w:val="00E92346"/>
    <w:rsid w:val="00E92DED"/>
    <w:rsid w:val="00E9334E"/>
    <w:rsid w:val="00E94F82"/>
    <w:rsid w:val="00E950C9"/>
    <w:rsid w:val="00E9577F"/>
    <w:rsid w:val="00E95824"/>
    <w:rsid w:val="00E96458"/>
    <w:rsid w:val="00E96693"/>
    <w:rsid w:val="00E96B6B"/>
    <w:rsid w:val="00E97353"/>
    <w:rsid w:val="00EA2943"/>
    <w:rsid w:val="00EA3340"/>
    <w:rsid w:val="00EA506C"/>
    <w:rsid w:val="00EA6455"/>
    <w:rsid w:val="00EA75C1"/>
    <w:rsid w:val="00EA76B7"/>
    <w:rsid w:val="00EA7E68"/>
    <w:rsid w:val="00EB03C7"/>
    <w:rsid w:val="00EB2B9B"/>
    <w:rsid w:val="00EB38E6"/>
    <w:rsid w:val="00EB473C"/>
    <w:rsid w:val="00EB4B9B"/>
    <w:rsid w:val="00EB4E6E"/>
    <w:rsid w:val="00EB4FC3"/>
    <w:rsid w:val="00EB7EDC"/>
    <w:rsid w:val="00EC02BF"/>
    <w:rsid w:val="00EC167B"/>
    <w:rsid w:val="00EC2005"/>
    <w:rsid w:val="00EC2030"/>
    <w:rsid w:val="00EC2041"/>
    <w:rsid w:val="00EC286D"/>
    <w:rsid w:val="00EC320F"/>
    <w:rsid w:val="00EC3CA8"/>
    <w:rsid w:val="00EC4826"/>
    <w:rsid w:val="00EC4F48"/>
    <w:rsid w:val="00EC5260"/>
    <w:rsid w:val="00EC5791"/>
    <w:rsid w:val="00ED0A8D"/>
    <w:rsid w:val="00ED1FA9"/>
    <w:rsid w:val="00ED23F7"/>
    <w:rsid w:val="00ED2934"/>
    <w:rsid w:val="00ED3715"/>
    <w:rsid w:val="00ED668C"/>
    <w:rsid w:val="00EE0C2B"/>
    <w:rsid w:val="00EE0C5F"/>
    <w:rsid w:val="00EE12CE"/>
    <w:rsid w:val="00EE1FCB"/>
    <w:rsid w:val="00EE3947"/>
    <w:rsid w:val="00EE4D62"/>
    <w:rsid w:val="00EF0D0C"/>
    <w:rsid w:val="00EF14C3"/>
    <w:rsid w:val="00EF36E2"/>
    <w:rsid w:val="00EF36E3"/>
    <w:rsid w:val="00EF62F5"/>
    <w:rsid w:val="00EF712C"/>
    <w:rsid w:val="00F00AB2"/>
    <w:rsid w:val="00F01237"/>
    <w:rsid w:val="00F0164D"/>
    <w:rsid w:val="00F025DE"/>
    <w:rsid w:val="00F02650"/>
    <w:rsid w:val="00F02813"/>
    <w:rsid w:val="00F03196"/>
    <w:rsid w:val="00F034CA"/>
    <w:rsid w:val="00F03C66"/>
    <w:rsid w:val="00F04605"/>
    <w:rsid w:val="00F04E90"/>
    <w:rsid w:val="00F0645F"/>
    <w:rsid w:val="00F0719F"/>
    <w:rsid w:val="00F0758D"/>
    <w:rsid w:val="00F10242"/>
    <w:rsid w:val="00F108AC"/>
    <w:rsid w:val="00F10BBB"/>
    <w:rsid w:val="00F10BFF"/>
    <w:rsid w:val="00F11EDC"/>
    <w:rsid w:val="00F12F42"/>
    <w:rsid w:val="00F13DE4"/>
    <w:rsid w:val="00F16550"/>
    <w:rsid w:val="00F17A33"/>
    <w:rsid w:val="00F20D96"/>
    <w:rsid w:val="00F21A8A"/>
    <w:rsid w:val="00F251DE"/>
    <w:rsid w:val="00F27755"/>
    <w:rsid w:val="00F27A88"/>
    <w:rsid w:val="00F31028"/>
    <w:rsid w:val="00F31F0C"/>
    <w:rsid w:val="00F327C3"/>
    <w:rsid w:val="00F3338E"/>
    <w:rsid w:val="00F3340B"/>
    <w:rsid w:val="00F34DC0"/>
    <w:rsid w:val="00F36080"/>
    <w:rsid w:val="00F37548"/>
    <w:rsid w:val="00F3779A"/>
    <w:rsid w:val="00F421E6"/>
    <w:rsid w:val="00F4241C"/>
    <w:rsid w:val="00F429E6"/>
    <w:rsid w:val="00F5028B"/>
    <w:rsid w:val="00F50673"/>
    <w:rsid w:val="00F51C55"/>
    <w:rsid w:val="00F526AF"/>
    <w:rsid w:val="00F52A7B"/>
    <w:rsid w:val="00F52DB4"/>
    <w:rsid w:val="00F618C6"/>
    <w:rsid w:val="00F62819"/>
    <w:rsid w:val="00F64C08"/>
    <w:rsid w:val="00F670D2"/>
    <w:rsid w:val="00F713C4"/>
    <w:rsid w:val="00F7589F"/>
    <w:rsid w:val="00F758A0"/>
    <w:rsid w:val="00F76A72"/>
    <w:rsid w:val="00F77EED"/>
    <w:rsid w:val="00F8023E"/>
    <w:rsid w:val="00F8291D"/>
    <w:rsid w:val="00F847B7"/>
    <w:rsid w:val="00F852C2"/>
    <w:rsid w:val="00F855B3"/>
    <w:rsid w:val="00F872AD"/>
    <w:rsid w:val="00F87807"/>
    <w:rsid w:val="00F900AE"/>
    <w:rsid w:val="00F90496"/>
    <w:rsid w:val="00F91764"/>
    <w:rsid w:val="00F9251B"/>
    <w:rsid w:val="00F92825"/>
    <w:rsid w:val="00F93A1B"/>
    <w:rsid w:val="00F95D8C"/>
    <w:rsid w:val="00F96514"/>
    <w:rsid w:val="00F96C32"/>
    <w:rsid w:val="00FA1A5C"/>
    <w:rsid w:val="00FA24FE"/>
    <w:rsid w:val="00FA2E62"/>
    <w:rsid w:val="00FA506B"/>
    <w:rsid w:val="00FA6A25"/>
    <w:rsid w:val="00FB3B57"/>
    <w:rsid w:val="00FB44FE"/>
    <w:rsid w:val="00FB4E97"/>
    <w:rsid w:val="00FB587D"/>
    <w:rsid w:val="00FB75A8"/>
    <w:rsid w:val="00FC30AF"/>
    <w:rsid w:val="00FC3D4A"/>
    <w:rsid w:val="00FC7143"/>
    <w:rsid w:val="00FC72C1"/>
    <w:rsid w:val="00FC7A63"/>
    <w:rsid w:val="00FC7C8F"/>
    <w:rsid w:val="00FD5088"/>
    <w:rsid w:val="00FD5ED9"/>
    <w:rsid w:val="00FD6AE8"/>
    <w:rsid w:val="00FD6F50"/>
    <w:rsid w:val="00FD7D62"/>
    <w:rsid w:val="00FE0FB0"/>
    <w:rsid w:val="00FE13BD"/>
    <w:rsid w:val="00FE3F6A"/>
    <w:rsid w:val="00FF3527"/>
    <w:rsid w:val="00FF39DE"/>
    <w:rsid w:val="00FF4731"/>
    <w:rsid w:val="00FF5996"/>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B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1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445B9"/>
    <w:rPr>
      <w:color w:val="0000FF"/>
      <w:u w:val="single"/>
    </w:rPr>
  </w:style>
  <w:style w:type="paragraph" w:customStyle="1" w:styleId="JuPara">
    <w:name w:val="Ju_Para"/>
    <w:aliases w:val="Left,First line:  0 cm"/>
    <w:basedOn w:val="Normal"/>
    <w:link w:val="JuParaChar"/>
    <w:rsid w:val="000F7E70"/>
    <w:pPr>
      <w:suppressAutoHyphens/>
      <w:ind w:firstLine="284"/>
      <w:jc w:val="both"/>
    </w:pPr>
    <w:rPr>
      <w:szCs w:val="20"/>
      <w:lang w:val="en-GB" w:eastAsia="fr-FR"/>
    </w:rPr>
  </w:style>
  <w:style w:type="character" w:customStyle="1" w:styleId="JuParaChar">
    <w:name w:val="Ju_Para Char"/>
    <w:basedOn w:val="DefaultParagraphFont"/>
    <w:link w:val="JuPara"/>
    <w:rsid w:val="000F7E70"/>
    <w:rPr>
      <w:sz w:val="24"/>
      <w:lang w:val="en-GB" w:eastAsia="fr-FR"/>
    </w:rPr>
  </w:style>
  <w:style w:type="paragraph" w:styleId="ListParagraph">
    <w:name w:val="List Paragraph"/>
    <w:basedOn w:val="Normal"/>
    <w:uiPriority w:val="99"/>
    <w:qFormat/>
    <w:rsid w:val="000F7E70"/>
    <w:pPr>
      <w:suppressAutoHyphens/>
      <w:ind w:left="720"/>
    </w:pPr>
    <w:rPr>
      <w:lang w:eastAsia="ar-SA"/>
    </w:rPr>
  </w:style>
  <w:style w:type="character" w:customStyle="1" w:styleId="ju-005fpara--char">
    <w:name w:val="ju-005fpara--char"/>
    <w:basedOn w:val="DefaultParagraphFont"/>
    <w:rsid w:val="000F7E70"/>
  </w:style>
  <w:style w:type="paragraph" w:customStyle="1" w:styleId="JuParaCharChar">
    <w:name w:val="Ju_Para Char Char"/>
    <w:basedOn w:val="Normal"/>
    <w:link w:val="JuParaCharCharChar1"/>
    <w:rsid w:val="000F7E70"/>
    <w:pPr>
      <w:suppressAutoHyphens/>
      <w:ind w:firstLine="284"/>
      <w:jc w:val="both"/>
    </w:pPr>
    <w:rPr>
      <w:szCs w:val="20"/>
      <w:lang w:val="en-GB" w:eastAsia="fr-FR"/>
    </w:rPr>
  </w:style>
  <w:style w:type="character" w:customStyle="1" w:styleId="JuParaCharCharChar1">
    <w:name w:val="Ju_Para Char Char Char1"/>
    <w:basedOn w:val="DefaultParagraphFont"/>
    <w:link w:val="JuParaCharChar"/>
    <w:rsid w:val="000F7E70"/>
    <w:rPr>
      <w:sz w:val="24"/>
      <w:lang w:val="en-GB" w:eastAsia="fr-FR"/>
    </w:rPr>
  </w:style>
  <w:style w:type="paragraph" w:customStyle="1" w:styleId="Default">
    <w:name w:val="Default"/>
    <w:uiPriority w:val="99"/>
    <w:rsid w:val="000F7E70"/>
    <w:pPr>
      <w:autoSpaceDE w:val="0"/>
      <w:autoSpaceDN w:val="0"/>
      <w:adjustRightInd w:val="0"/>
    </w:pPr>
    <w:rPr>
      <w:color w:val="000000"/>
      <w:sz w:val="24"/>
      <w:szCs w:val="24"/>
    </w:rPr>
  </w:style>
  <w:style w:type="paragraph" w:customStyle="1" w:styleId="JuList">
    <w:name w:val="Ju_List"/>
    <w:basedOn w:val="JuPara"/>
    <w:rsid w:val="000F7E70"/>
    <w:pPr>
      <w:ind w:left="340" w:hanging="340"/>
    </w:pPr>
  </w:style>
  <w:style w:type="paragraph" w:styleId="Header">
    <w:name w:val="header"/>
    <w:basedOn w:val="Normal"/>
    <w:link w:val="HeaderChar"/>
    <w:uiPriority w:val="99"/>
    <w:rsid w:val="009C28A7"/>
    <w:pPr>
      <w:tabs>
        <w:tab w:val="center" w:pos="4153"/>
        <w:tab w:val="right" w:pos="8306"/>
      </w:tabs>
    </w:pPr>
  </w:style>
  <w:style w:type="paragraph" w:styleId="Footer">
    <w:name w:val="footer"/>
    <w:basedOn w:val="Normal"/>
    <w:link w:val="FooterChar"/>
    <w:uiPriority w:val="99"/>
    <w:rsid w:val="009C28A7"/>
    <w:pPr>
      <w:tabs>
        <w:tab w:val="center" w:pos="4153"/>
        <w:tab w:val="right" w:pos="8306"/>
      </w:tabs>
    </w:pPr>
  </w:style>
  <w:style w:type="paragraph" w:styleId="BalloonText">
    <w:name w:val="Balloon Text"/>
    <w:basedOn w:val="Normal"/>
    <w:semiHidden/>
    <w:rsid w:val="00B241DA"/>
    <w:rPr>
      <w:rFonts w:ascii="Tahoma" w:hAnsi="Tahoma" w:cs="Tahoma"/>
      <w:sz w:val="16"/>
      <w:szCs w:val="16"/>
    </w:rPr>
  </w:style>
  <w:style w:type="paragraph" w:styleId="FootnoteText">
    <w:name w:val="footnote text"/>
    <w:basedOn w:val="Normal"/>
    <w:link w:val="FootnoteTextChar"/>
    <w:uiPriority w:val="99"/>
    <w:semiHidden/>
    <w:rsid w:val="001E2A7D"/>
    <w:pPr>
      <w:widowControl w:val="0"/>
    </w:pPr>
    <w:rPr>
      <w:rFonts w:ascii="Palatino" w:hAnsi="Palatino"/>
      <w:snapToGrid w:val="0"/>
      <w:szCs w:val="20"/>
      <w:lang w:val="en-GB"/>
    </w:rPr>
  </w:style>
  <w:style w:type="character" w:styleId="FootnoteReference">
    <w:name w:val="footnote reference"/>
    <w:basedOn w:val="DefaultParagraphFont"/>
    <w:uiPriority w:val="99"/>
    <w:semiHidden/>
    <w:rsid w:val="001E2A7D"/>
    <w:rPr>
      <w:vertAlign w:val="superscript"/>
    </w:rPr>
  </w:style>
  <w:style w:type="character" w:styleId="CommentReference">
    <w:name w:val="annotation reference"/>
    <w:basedOn w:val="DefaultParagraphFont"/>
    <w:rsid w:val="007C65E0"/>
    <w:rPr>
      <w:sz w:val="16"/>
      <w:szCs w:val="16"/>
    </w:rPr>
  </w:style>
  <w:style w:type="paragraph" w:styleId="CommentText">
    <w:name w:val="annotation text"/>
    <w:basedOn w:val="Normal"/>
    <w:link w:val="CommentTextChar"/>
    <w:rsid w:val="007C65E0"/>
    <w:rPr>
      <w:sz w:val="20"/>
      <w:szCs w:val="20"/>
    </w:rPr>
  </w:style>
  <w:style w:type="character" w:customStyle="1" w:styleId="CommentTextChar">
    <w:name w:val="Comment Text Char"/>
    <w:basedOn w:val="DefaultParagraphFont"/>
    <w:link w:val="CommentText"/>
    <w:rsid w:val="007C65E0"/>
  </w:style>
  <w:style w:type="paragraph" w:styleId="CommentSubject">
    <w:name w:val="annotation subject"/>
    <w:basedOn w:val="CommentText"/>
    <w:next w:val="CommentText"/>
    <w:link w:val="CommentSubjectChar"/>
    <w:rsid w:val="007C65E0"/>
    <w:rPr>
      <w:b/>
      <w:bCs/>
    </w:rPr>
  </w:style>
  <w:style w:type="character" w:customStyle="1" w:styleId="CommentSubjectChar">
    <w:name w:val="Comment Subject Char"/>
    <w:basedOn w:val="CommentTextChar"/>
    <w:link w:val="CommentSubject"/>
    <w:rsid w:val="007C65E0"/>
    <w:rPr>
      <w:b/>
      <w:bCs/>
    </w:rPr>
  </w:style>
  <w:style w:type="character" w:customStyle="1" w:styleId="FootnoteTextChar">
    <w:name w:val="Footnote Text Char"/>
    <w:basedOn w:val="DefaultParagraphFont"/>
    <w:link w:val="FootnoteText"/>
    <w:uiPriority w:val="99"/>
    <w:semiHidden/>
    <w:locked/>
    <w:rsid w:val="007C65E0"/>
    <w:rPr>
      <w:rFonts w:ascii="Palatino" w:hAnsi="Palatino"/>
      <w:snapToGrid w:val="0"/>
      <w:sz w:val="24"/>
      <w:lang w:val="en-GB"/>
    </w:rPr>
  </w:style>
  <w:style w:type="paragraph" w:styleId="Caption">
    <w:name w:val="caption"/>
    <w:basedOn w:val="Normal"/>
    <w:next w:val="Normal"/>
    <w:uiPriority w:val="35"/>
    <w:qFormat/>
    <w:rsid w:val="009E17E8"/>
    <w:pPr>
      <w:jc w:val="right"/>
    </w:pPr>
    <w:rPr>
      <w:szCs w:val="20"/>
      <w:lang w:val="en-GB" w:eastAsia="en-GB"/>
    </w:rPr>
  </w:style>
  <w:style w:type="character" w:customStyle="1" w:styleId="HeaderChar">
    <w:name w:val="Header Char"/>
    <w:basedOn w:val="DefaultParagraphFont"/>
    <w:link w:val="Header"/>
    <w:uiPriority w:val="99"/>
    <w:rsid w:val="006111E0"/>
    <w:rPr>
      <w:sz w:val="24"/>
      <w:szCs w:val="24"/>
      <w:lang w:val="en-US" w:eastAsia="en-US"/>
    </w:rPr>
  </w:style>
  <w:style w:type="paragraph" w:styleId="NormalWeb">
    <w:name w:val="Normal (Web)"/>
    <w:basedOn w:val="Normal"/>
    <w:uiPriority w:val="99"/>
    <w:unhideWhenUsed/>
    <w:rsid w:val="00E646A4"/>
    <w:pPr>
      <w:spacing w:before="100" w:beforeAutospacing="1" w:after="100" w:afterAutospacing="1"/>
    </w:pPr>
    <w:rPr>
      <w:color w:val="000000"/>
      <w:lang w:val="en-GB" w:eastAsia="en-GB"/>
    </w:rPr>
  </w:style>
  <w:style w:type="character" w:customStyle="1" w:styleId="sb8d990e2">
    <w:name w:val="sb8d990e2"/>
    <w:basedOn w:val="DefaultParagraphFont"/>
    <w:rsid w:val="00A06923"/>
  </w:style>
  <w:style w:type="character" w:customStyle="1" w:styleId="s85f22697">
    <w:name w:val="s85f22697"/>
    <w:basedOn w:val="DefaultParagraphFont"/>
    <w:rsid w:val="00456871"/>
  </w:style>
  <w:style w:type="character" w:customStyle="1" w:styleId="s6b621b36">
    <w:name w:val="s6b621b36"/>
    <w:basedOn w:val="DefaultParagraphFont"/>
    <w:rsid w:val="004E6657"/>
  </w:style>
  <w:style w:type="paragraph" w:styleId="Revision">
    <w:name w:val="Revision"/>
    <w:hidden/>
    <w:uiPriority w:val="99"/>
    <w:semiHidden/>
    <w:rsid w:val="00E23A1F"/>
    <w:rPr>
      <w:sz w:val="24"/>
      <w:szCs w:val="24"/>
    </w:rPr>
  </w:style>
  <w:style w:type="character" w:customStyle="1" w:styleId="FooterChar">
    <w:name w:val="Footer Char"/>
    <w:basedOn w:val="DefaultParagraphFont"/>
    <w:link w:val="Footer"/>
    <w:uiPriority w:val="99"/>
    <w:locked/>
    <w:rsid w:val="00F12F42"/>
    <w:rPr>
      <w:sz w:val="24"/>
      <w:szCs w:val="24"/>
      <w:lang w:val="en-US" w:eastAsia="en-US"/>
    </w:rPr>
  </w:style>
  <w:style w:type="character" w:customStyle="1" w:styleId="wordhighlighted">
    <w:name w:val="wordhighlighted"/>
    <w:basedOn w:val="DefaultParagraphFont"/>
    <w:rsid w:val="001A6816"/>
  </w:style>
  <w:style w:type="character" w:customStyle="1" w:styleId="column01">
    <w:name w:val="column01"/>
    <w:basedOn w:val="DefaultParagraphFont"/>
    <w:rsid w:val="001A6816"/>
  </w:style>
  <w:style w:type="character" w:customStyle="1" w:styleId="JuParaChar1">
    <w:name w:val="Ju_Para Char1"/>
    <w:basedOn w:val="DefaultParagraphFont"/>
    <w:uiPriority w:val="99"/>
    <w:locked/>
    <w:rsid w:val="00893462"/>
    <w:rPr>
      <w:rFonts w:cs="Times New Roman"/>
      <w:sz w:val="24"/>
      <w:lang w:val="en-GB" w:eastAsia="nl-NL" w:bidi="ar-SA"/>
    </w:rPr>
  </w:style>
  <w:style w:type="paragraph" w:customStyle="1" w:styleId="Normal1">
    <w:name w:val="Normal1"/>
    <w:basedOn w:val="Normal"/>
    <w:rsid w:val="003B7650"/>
    <w:pPr>
      <w:spacing w:before="100" w:beforeAutospacing="1" w:after="100" w:afterAutospacing="1"/>
    </w:pPr>
  </w:style>
  <w:style w:type="character" w:styleId="Emphasis">
    <w:name w:val="Emphasis"/>
    <w:basedOn w:val="DefaultParagraphFont"/>
    <w:uiPriority w:val="20"/>
    <w:qFormat/>
    <w:rsid w:val="00025DC5"/>
    <w:rPr>
      <w:b/>
      <w:bCs/>
      <w:i w:val="0"/>
      <w:iCs w:val="0"/>
    </w:rPr>
  </w:style>
  <w:style w:type="paragraph" w:styleId="BodyText">
    <w:name w:val="Body Text"/>
    <w:basedOn w:val="Normal"/>
    <w:link w:val="BodyTextChar"/>
    <w:uiPriority w:val="99"/>
    <w:unhideWhenUsed/>
    <w:rsid w:val="002F42C3"/>
    <w:pPr>
      <w:ind w:right="-2"/>
    </w:pPr>
    <w:rPr>
      <w:sz w:val="20"/>
      <w:szCs w:val="20"/>
      <w:lang w:val="en-GB" w:eastAsia="en-GB"/>
    </w:rPr>
  </w:style>
  <w:style w:type="character" w:customStyle="1" w:styleId="BodyTextChar">
    <w:name w:val="Body Text Char"/>
    <w:basedOn w:val="DefaultParagraphFont"/>
    <w:link w:val="BodyText"/>
    <w:uiPriority w:val="99"/>
    <w:rsid w:val="002F42C3"/>
  </w:style>
  <w:style w:type="character" w:styleId="Strong">
    <w:name w:val="Strong"/>
    <w:basedOn w:val="DefaultParagraphFont"/>
    <w:uiPriority w:val="22"/>
    <w:qFormat/>
    <w:rsid w:val="0086321C"/>
    <w:rPr>
      <w:b/>
      <w:bCs/>
    </w:rPr>
  </w:style>
  <w:style w:type="paragraph" w:customStyle="1" w:styleId="ListParagraph1">
    <w:name w:val="List Paragraph1"/>
    <w:basedOn w:val="Normal"/>
    <w:rsid w:val="00E85EAC"/>
    <w:pPr>
      <w:ind w:left="720"/>
      <w:contextualSpacing/>
    </w:pPr>
    <w:rPr>
      <w:lang w:val="en-GB" w:eastAsia="en-GB"/>
    </w:rPr>
  </w:style>
  <w:style w:type="paragraph" w:customStyle="1" w:styleId="yiv1402040874msonormal">
    <w:name w:val="yiv1402040874msonormal"/>
    <w:basedOn w:val="Normal"/>
    <w:rsid w:val="001642C0"/>
    <w:pPr>
      <w:spacing w:before="100" w:beforeAutospacing="1" w:after="100" w:afterAutospacing="1"/>
    </w:pPr>
    <w:rPr>
      <w:lang w:val="en-GB" w:eastAsia="en-GB"/>
    </w:rPr>
  </w:style>
  <w:style w:type="character" w:styleId="FollowedHyperlink">
    <w:name w:val="FollowedHyperlink"/>
    <w:basedOn w:val="DefaultParagraphFont"/>
    <w:rsid w:val="00C02D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B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1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445B9"/>
    <w:rPr>
      <w:color w:val="0000FF"/>
      <w:u w:val="single"/>
    </w:rPr>
  </w:style>
  <w:style w:type="paragraph" w:customStyle="1" w:styleId="JuPara">
    <w:name w:val="Ju_Para"/>
    <w:aliases w:val="Left,First line:  0 cm"/>
    <w:basedOn w:val="Normal"/>
    <w:link w:val="JuParaChar"/>
    <w:rsid w:val="000F7E70"/>
    <w:pPr>
      <w:suppressAutoHyphens/>
      <w:ind w:firstLine="284"/>
      <w:jc w:val="both"/>
    </w:pPr>
    <w:rPr>
      <w:szCs w:val="20"/>
      <w:lang w:val="en-GB" w:eastAsia="fr-FR"/>
    </w:rPr>
  </w:style>
  <w:style w:type="character" w:customStyle="1" w:styleId="JuParaChar">
    <w:name w:val="Ju_Para Char"/>
    <w:basedOn w:val="DefaultParagraphFont"/>
    <w:link w:val="JuPara"/>
    <w:rsid w:val="000F7E70"/>
    <w:rPr>
      <w:sz w:val="24"/>
      <w:lang w:val="en-GB" w:eastAsia="fr-FR"/>
    </w:rPr>
  </w:style>
  <w:style w:type="paragraph" w:styleId="ListParagraph">
    <w:name w:val="List Paragraph"/>
    <w:basedOn w:val="Normal"/>
    <w:uiPriority w:val="99"/>
    <w:qFormat/>
    <w:rsid w:val="000F7E70"/>
    <w:pPr>
      <w:suppressAutoHyphens/>
      <w:ind w:left="720"/>
    </w:pPr>
    <w:rPr>
      <w:lang w:eastAsia="ar-SA"/>
    </w:rPr>
  </w:style>
  <w:style w:type="character" w:customStyle="1" w:styleId="ju-005fpara--char">
    <w:name w:val="ju-005fpara--char"/>
    <w:basedOn w:val="DefaultParagraphFont"/>
    <w:rsid w:val="000F7E70"/>
  </w:style>
  <w:style w:type="paragraph" w:customStyle="1" w:styleId="JuParaCharChar">
    <w:name w:val="Ju_Para Char Char"/>
    <w:basedOn w:val="Normal"/>
    <w:link w:val="JuParaCharCharChar1"/>
    <w:rsid w:val="000F7E70"/>
    <w:pPr>
      <w:suppressAutoHyphens/>
      <w:ind w:firstLine="284"/>
      <w:jc w:val="both"/>
    </w:pPr>
    <w:rPr>
      <w:szCs w:val="20"/>
      <w:lang w:val="en-GB" w:eastAsia="fr-FR"/>
    </w:rPr>
  </w:style>
  <w:style w:type="character" w:customStyle="1" w:styleId="JuParaCharCharChar1">
    <w:name w:val="Ju_Para Char Char Char1"/>
    <w:basedOn w:val="DefaultParagraphFont"/>
    <w:link w:val="JuParaCharChar"/>
    <w:rsid w:val="000F7E70"/>
    <w:rPr>
      <w:sz w:val="24"/>
      <w:lang w:val="en-GB" w:eastAsia="fr-FR"/>
    </w:rPr>
  </w:style>
  <w:style w:type="paragraph" w:customStyle="1" w:styleId="Default">
    <w:name w:val="Default"/>
    <w:uiPriority w:val="99"/>
    <w:rsid w:val="000F7E70"/>
    <w:pPr>
      <w:autoSpaceDE w:val="0"/>
      <w:autoSpaceDN w:val="0"/>
      <w:adjustRightInd w:val="0"/>
    </w:pPr>
    <w:rPr>
      <w:color w:val="000000"/>
      <w:sz w:val="24"/>
      <w:szCs w:val="24"/>
    </w:rPr>
  </w:style>
  <w:style w:type="paragraph" w:customStyle="1" w:styleId="JuList">
    <w:name w:val="Ju_List"/>
    <w:basedOn w:val="JuPara"/>
    <w:rsid w:val="000F7E70"/>
    <w:pPr>
      <w:ind w:left="340" w:hanging="340"/>
    </w:pPr>
  </w:style>
  <w:style w:type="paragraph" w:styleId="Header">
    <w:name w:val="header"/>
    <w:basedOn w:val="Normal"/>
    <w:link w:val="HeaderChar"/>
    <w:uiPriority w:val="99"/>
    <w:rsid w:val="009C28A7"/>
    <w:pPr>
      <w:tabs>
        <w:tab w:val="center" w:pos="4153"/>
        <w:tab w:val="right" w:pos="8306"/>
      </w:tabs>
    </w:pPr>
  </w:style>
  <w:style w:type="paragraph" w:styleId="Footer">
    <w:name w:val="footer"/>
    <w:basedOn w:val="Normal"/>
    <w:link w:val="FooterChar"/>
    <w:uiPriority w:val="99"/>
    <w:rsid w:val="009C28A7"/>
    <w:pPr>
      <w:tabs>
        <w:tab w:val="center" w:pos="4153"/>
        <w:tab w:val="right" w:pos="8306"/>
      </w:tabs>
    </w:pPr>
  </w:style>
  <w:style w:type="paragraph" w:styleId="BalloonText">
    <w:name w:val="Balloon Text"/>
    <w:basedOn w:val="Normal"/>
    <w:semiHidden/>
    <w:rsid w:val="00B241DA"/>
    <w:rPr>
      <w:rFonts w:ascii="Tahoma" w:hAnsi="Tahoma" w:cs="Tahoma"/>
      <w:sz w:val="16"/>
      <w:szCs w:val="16"/>
    </w:rPr>
  </w:style>
  <w:style w:type="paragraph" w:styleId="FootnoteText">
    <w:name w:val="footnote text"/>
    <w:basedOn w:val="Normal"/>
    <w:link w:val="FootnoteTextChar"/>
    <w:uiPriority w:val="99"/>
    <w:semiHidden/>
    <w:rsid w:val="001E2A7D"/>
    <w:pPr>
      <w:widowControl w:val="0"/>
    </w:pPr>
    <w:rPr>
      <w:rFonts w:ascii="Palatino" w:hAnsi="Palatino"/>
      <w:snapToGrid w:val="0"/>
      <w:szCs w:val="20"/>
      <w:lang w:val="en-GB"/>
    </w:rPr>
  </w:style>
  <w:style w:type="character" w:styleId="FootnoteReference">
    <w:name w:val="footnote reference"/>
    <w:basedOn w:val="DefaultParagraphFont"/>
    <w:uiPriority w:val="99"/>
    <w:semiHidden/>
    <w:rsid w:val="001E2A7D"/>
    <w:rPr>
      <w:vertAlign w:val="superscript"/>
    </w:rPr>
  </w:style>
  <w:style w:type="character" w:styleId="CommentReference">
    <w:name w:val="annotation reference"/>
    <w:basedOn w:val="DefaultParagraphFont"/>
    <w:rsid w:val="007C65E0"/>
    <w:rPr>
      <w:sz w:val="16"/>
      <w:szCs w:val="16"/>
    </w:rPr>
  </w:style>
  <w:style w:type="paragraph" w:styleId="CommentText">
    <w:name w:val="annotation text"/>
    <w:basedOn w:val="Normal"/>
    <w:link w:val="CommentTextChar"/>
    <w:rsid w:val="007C65E0"/>
    <w:rPr>
      <w:sz w:val="20"/>
      <w:szCs w:val="20"/>
    </w:rPr>
  </w:style>
  <w:style w:type="character" w:customStyle="1" w:styleId="CommentTextChar">
    <w:name w:val="Comment Text Char"/>
    <w:basedOn w:val="DefaultParagraphFont"/>
    <w:link w:val="CommentText"/>
    <w:rsid w:val="007C65E0"/>
  </w:style>
  <w:style w:type="paragraph" w:styleId="CommentSubject">
    <w:name w:val="annotation subject"/>
    <w:basedOn w:val="CommentText"/>
    <w:next w:val="CommentText"/>
    <w:link w:val="CommentSubjectChar"/>
    <w:rsid w:val="007C65E0"/>
    <w:rPr>
      <w:b/>
      <w:bCs/>
    </w:rPr>
  </w:style>
  <w:style w:type="character" w:customStyle="1" w:styleId="CommentSubjectChar">
    <w:name w:val="Comment Subject Char"/>
    <w:basedOn w:val="CommentTextChar"/>
    <w:link w:val="CommentSubject"/>
    <w:rsid w:val="007C65E0"/>
    <w:rPr>
      <w:b/>
      <w:bCs/>
    </w:rPr>
  </w:style>
  <w:style w:type="character" w:customStyle="1" w:styleId="FootnoteTextChar">
    <w:name w:val="Footnote Text Char"/>
    <w:basedOn w:val="DefaultParagraphFont"/>
    <w:link w:val="FootnoteText"/>
    <w:uiPriority w:val="99"/>
    <w:semiHidden/>
    <w:locked/>
    <w:rsid w:val="007C65E0"/>
    <w:rPr>
      <w:rFonts w:ascii="Palatino" w:hAnsi="Palatino"/>
      <w:snapToGrid w:val="0"/>
      <w:sz w:val="24"/>
      <w:lang w:val="en-GB"/>
    </w:rPr>
  </w:style>
  <w:style w:type="paragraph" w:styleId="Caption">
    <w:name w:val="caption"/>
    <w:basedOn w:val="Normal"/>
    <w:next w:val="Normal"/>
    <w:uiPriority w:val="35"/>
    <w:qFormat/>
    <w:rsid w:val="009E17E8"/>
    <w:pPr>
      <w:jc w:val="right"/>
    </w:pPr>
    <w:rPr>
      <w:szCs w:val="20"/>
      <w:lang w:val="en-GB" w:eastAsia="en-GB"/>
    </w:rPr>
  </w:style>
  <w:style w:type="character" w:customStyle="1" w:styleId="HeaderChar">
    <w:name w:val="Header Char"/>
    <w:basedOn w:val="DefaultParagraphFont"/>
    <w:link w:val="Header"/>
    <w:uiPriority w:val="99"/>
    <w:rsid w:val="006111E0"/>
    <w:rPr>
      <w:sz w:val="24"/>
      <w:szCs w:val="24"/>
      <w:lang w:val="en-US" w:eastAsia="en-US"/>
    </w:rPr>
  </w:style>
  <w:style w:type="paragraph" w:styleId="NormalWeb">
    <w:name w:val="Normal (Web)"/>
    <w:basedOn w:val="Normal"/>
    <w:uiPriority w:val="99"/>
    <w:unhideWhenUsed/>
    <w:rsid w:val="00E646A4"/>
    <w:pPr>
      <w:spacing w:before="100" w:beforeAutospacing="1" w:after="100" w:afterAutospacing="1"/>
    </w:pPr>
    <w:rPr>
      <w:color w:val="000000"/>
      <w:lang w:val="en-GB" w:eastAsia="en-GB"/>
    </w:rPr>
  </w:style>
  <w:style w:type="character" w:customStyle="1" w:styleId="sb8d990e2">
    <w:name w:val="sb8d990e2"/>
    <w:basedOn w:val="DefaultParagraphFont"/>
    <w:rsid w:val="00A06923"/>
  </w:style>
  <w:style w:type="character" w:customStyle="1" w:styleId="s85f22697">
    <w:name w:val="s85f22697"/>
    <w:basedOn w:val="DefaultParagraphFont"/>
    <w:rsid w:val="00456871"/>
  </w:style>
  <w:style w:type="character" w:customStyle="1" w:styleId="s6b621b36">
    <w:name w:val="s6b621b36"/>
    <w:basedOn w:val="DefaultParagraphFont"/>
    <w:rsid w:val="004E6657"/>
  </w:style>
  <w:style w:type="paragraph" w:styleId="Revision">
    <w:name w:val="Revision"/>
    <w:hidden/>
    <w:uiPriority w:val="99"/>
    <w:semiHidden/>
    <w:rsid w:val="00E23A1F"/>
    <w:rPr>
      <w:sz w:val="24"/>
      <w:szCs w:val="24"/>
    </w:rPr>
  </w:style>
  <w:style w:type="character" w:customStyle="1" w:styleId="FooterChar">
    <w:name w:val="Footer Char"/>
    <w:basedOn w:val="DefaultParagraphFont"/>
    <w:link w:val="Footer"/>
    <w:uiPriority w:val="99"/>
    <w:locked/>
    <w:rsid w:val="00F12F42"/>
    <w:rPr>
      <w:sz w:val="24"/>
      <w:szCs w:val="24"/>
      <w:lang w:val="en-US" w:eastAsia="en-US"/>
    </w:rPr>
  </w:style>
  <w:style w:type="character" w:customStyle="1" w:styleId="wordhighlighted">
    <w:name w:val="wordhighlighted"/>
    <w:basedOn w:val="DefaultParagraphFont"/>
    <w:rsid w:val="001A6816"/>
  </w:style>
  <w:style w:type="character" w:customStyle="1" w:styleId="column01">
    <w:name w:val="column01"/>
    <w:basedOn w:val="DefaultParagraphFont"/>
    <w:rsid w:val="001A6816"/>
  </w:style>
  <w:style w:type="character" w:customStyle="1" w:styleId="JuParaChar1">
    <w:name w:val="Ju_Para Char1"/>
    <w:basedOn w:val="DefaultParagraphFont"/>
    <w:uiPriority w:val="99"/>
    <w:locked/>
    <w:rsid w:val="00893462"/>
    <w:rPr>
      <w:rFonts w:cs="Times New Roman"/>
      <w:sz w:val="24"/>
      <w:lang w:val="en-GB" w:eastAsia="nl-NL" w:bidi="ar-SA"/>
    </w:rPr>
  </w:style>
  <w:style w:type="paragraph" w:customStyle="1" w:styleId="Normal1">
    <w:name w:val="Normal1"/>
    <w:basedOn w:val="Normal"/>
    <w:rsid w:val="003B7650"/>
    <w:pPr>
      <w:spacing w:before="100" w:beforeAutospacing="1" w:after="100" w:afterAutospacing="1"/>
    </w:pPr>
  </w:style>
  <w:style w:type="character" w:styleId="Emphasis">
    <w:name w:val="Emphasis"/>
    <w:basedOn w:val="DefaultParagraphFont"/>
    <w:uiPriority w:val="20"/>
    <w:qFormat/>
    <w:rsid w:val="00025DC5"/>
    <w:rPr>
      <w:b/>
      <w:bCs/>
      <w:i w:val="0"/>
      <w:iCs w:val="0"/>
    </w:rPr>
  </w:style>
  <w:style w:type="paragraph" w:styleId="BodyText">
    <w:name w:val="Body Text"/>
    <w:basedOn w:val="Normal"/>
    <w:link w:val="BodyTextChar"/>
    <w:uiPriority w:val="99"/>
    <w:unhideWhenUsed/>
    <w:rsid w:val="002F42C3"/>
    <w:pPr>
      <w:ind w:right="-2"/>
    </w:pPr>
    <w:rPr>
      <w:sz w:val="20"/>
      <w:szCs w:val="20"/>
      <w:lang w:val="en-GB" w:eastAsia="en-GB"/>
    </w:rPr>
  </w:style>
  <w:style w:type="character" w:customStyle="1" w:styleId="BodyTextChar">
    <w:name w:val="Body Text Char"/>
    <w:basedOn w:val="DefaultParagraphFont"/>
    <w:link w:val="BodyText"/>
    <w:uiPriority w:val="99"/>
    <w:rsid w:val="002F42C3"/>
  </w:style>
  <w:style w:type="character" w:styleId="Strong">
    <w:name w:val="Strong"/>
    <w:basedOn w:val="DefaultParagraphFont"/>
    <w:uiPriority w:val="22"/>
    <w:qFormat/>
    <w:rsid w:val="0086321C"/>
    <w:rPr>
      <w:b/>
      <w:bCs/>
    </w:rPr>
  </w:style>
  <w:style w:type="paragraph" w:customStyle="1" w:styleId="ListParagraph1">
    <w:name w:val="List Paragraph1"/>
    <w:basedOn w:val="Normal"/>
    <w:rsid w:val="00E85EAC"/>
    <w:pPr>
      <w:ind w:left="720"/>
      <w:contextualSpacing/>
    </w:pPr>
    <w:rPr>
      <w:lang w:val="en-GB" w:eastAsia="en-GB"/>
    </w:rPr>
  </w:style>
  <w:style w:type="paragraph" w:customStyle="1" w:styleId="yiv1402040874msonormal">
    <w:name w:val="yiv1402040874msonormal"/>
    <w:basedOn w:val="Normal"/>
    <w:rsid w:val="001642C0"/>
    <w:pPr>
      <w:spacing w:before="100" w:beforeAutospacing="1" w:after="100" w:afterAutospacing="1"/>
    </w:pPr>
    <w:rPr>
      <w:lang w:val="en-GB" w:eastAsia="en-GB"/>
    </w:rPr>
  </w:style>
  <w:style w:type="character" w:styleId="FollowedHyperlink">
    <w:name w:val="FollowedHyperlink"/>
    <w:basedOn w:val="DefaultParagraphFont"/>
    <w:rsid w:val="00C02D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96252">
      <w:bodyDiv w:val="1"/>
      <w:marLeft w:val="0"/>
      <w:marRight w:val="0"/>
      <w:marTop w:val="0"/>
      <w:marBottom w:val="0"/>
      <w:divBdr>
        <w:top w:val="none" w:sz="0" w:space="0" w:color="auto"/>
        <w:left w:val="none" w:sz="0" w:space="0" w:color="auto"/>
        <w:bottom w:val="none" w:sz="0" w:space="0" w:color="auto"/>
        <w:right w:val="none" w:sz="0" w:space="0" w:color="auto"/>
      </w:divBdr>
      <w:divsChild>
        <w:div w:id="472140082">
          <w:marLeft w:val="0"/>
          <w:marRight w:val="0"/>
          <w:marTop w:val="0"/>
          <w:marBottom w:val="0"/>
          <w:divBdr>
            <w:top w:val="none" w:sz="0" w:space="0" w:color="auto"/>
            <w:left w:val="none" w:sz="0" w:space="0" w:color="auto"/>
            <w:bottom w:val="none" w:sz="0" w:space="0" w:color="auto"/>
            <w:right w:val="none" w:sz="0" w:space="0" w:color="auto"/>
          </w:divBdr>
          <w:divsChild>
            <w:div w:id="1884631164">
              <w:marLeft w:val="0"/>
              <w:marRight w:val="0"/>
              <w:marTop w:val="0"/>
              <w:marBottom w:val="0"/>
              <w:divBdr>
                <w:top w:val="none" w:sz="0" w:space="0" w:color="auto"/>
                <w:left w:val="none" w:sz="0" w:space="0" w:color="auto"/>
                <w:bottom w:val="none" w:sz="0" w:space="0" w:color="auto"/>
                <w:right w:val="none" w:sz="0" w:space="0" w:color="auto"/>
              </w:divBdr>
              <w:divsChild>
                <w:div w:id="36984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10393">
      <w:bodyDiv w:val="1"/>
      <w:marLeft w:val="0"/>
      <w:marRight w:val="0"/>
      <w:marTop w:val="0"/>
      <w:marBottom w:val="0"/>
      <w:divBdr>
        <w:top w:val="none" w:sz="0" w:space="0" w:color="auto"/>
        <w:left w:val="none" w:sz="0" w:space="0" w:color="auto"/>
        <w:bottom w:val="none" w:sz="0" w:space="0" w:color="auto"/>
        <w:right w:val="none" w:sz="0" w:space="0" w:color="auto"/>
      </w:divBdr>
    </w:div>
    <w:div w:id="1469934387">
      <w:bodyDiv w:val="1"/>
      <w:marLeft w:val="0"/>
      <w:marRight w:val="0"/>
      <w:marTop w:val="0"/>
      <w:marBottom w:val="0"/>
      <w:divBdr>
        <w:top w:val="none" w:sz="0" w:space="0" w:color="auto"/>
        <w:left w:val="none" w:sz="0" w:space="0" w:color="auto"/>
        <w:bottom w:val="none" w:sz="0" w:space="0" w:color="auto"/>
        <w:right w:val="none" w:sz="0" w:space="0" w:color="auto"/>
      </w:divBdr>
    </w:div>
    <w:div w:id="1609236802">
      <w:bodyDiv w:val="1"/>
      <w:marLeft w:val="0"/>
      <w:marRight w:val="0"/>
      <w:marTop w:val="0"/>
      <w:marBottom w:val="0"/>
      <w:divBdr>
        <w:top w:val="none" w:sz="0" w:space="0" w:color="auto"/>
        <w:left w:val="none" w:sz="0" w:space="0" w:color="auto"/>
        <w:bottom w:val="none" w:sz="0" w:space="0" w:color="auto"/>
        <w:right w:val="none" w:sz="0" w:space="0" w:color="auto"/>
      </w:divBdr>
    </w:div>
    <w:div w:id="1628312702">
      <w:bodyDiv w:val="1"/>
      <w:marLeft w:val="0"/>
      <w:marRight w:val="0"/>
      <w:marTop w:val="0"/>
      <w:marBottom w:val="0"/>
      <w:divBdr>
        <w:top w:val="none" w:sz="0" w:space="0" w:color="auto"/>
        <w:left w:val="none" w:sz="0" w:space="0" w:color="auto"/>
        <w:bottom w:val="none" w:sz="0" w:space="0" w:color="auto"/>
        <w:right w:val="none" w:sz="0" w:space="0" w:color="auto"/>
      </w:divBdr>
    </w:div>
    <w:div w:id="1631278786">
      <w:bodyDiv w:val="1"/>
      <w:marLeft w:val="0"/>
      <w:marRight w:val="0"/>
      <w:marTop w:val="0"/>
      <w:marBottom w:val="0"/>
      <w:divBdr>
        <w:top w:val="none" w:sz="0" w:space="0" w:color="auto"/>
        <w:left w:val="none" w:sz="0" w:space="0" w:color="auto"/>
        <w:bottom w:val="none" w:sz="0" w:space="0" w:color="auto"/>
        <w:right w:val="none" w:sz="0" w:space="0" w:color="auto"/>
      </w:divBdr>
    </w:div>
    <w:div w:id="1673529189">
      <w:bodyDiv w:val="1"/>
      <w:marLeft w:val="0"/>
      <w:marRight w:val="0"/>
      <w:marTop w:val="0"/>
      <w:marBottom w:val="0"/>
      <w:divBdr>
        <w:top w:val="none" w:sz="0" w:space="0" w:color="auto"/>
        <w:left w:val="none" w:sz="0" w:space="0" w:color="auto"/>
        <w:bottom w:val="none" w:sz="0" w:space="0" w:color="auto"/>
        <w:right w:val="none" w:sz="0" w:space="0" w:color="auto"/>
      </w:divBdr>
    </w:div>
    <w:div w:id="1774401638">
      <w:bodyDiv w:val="1"/>
      <w:marLeft w:val="0"/>
      <w:marRight w:val="0"/>
      <w:marTop w:val="0"/>
      <w:marBottom w:val="0"/>
      <w:divBdr>
        <w:top w:val="none" w:sz="0" w:space="0" w:color="auto"/>
        <w:left w:val="none" w:sz="0" w:space="0" w:color="auto"/>
        <w:bottom w:val="none" w:sz="0" w:space="0" w:color="auto"/>
        <w:right w:val="none" w:sz="0" w:space="0" w:color="auto"/>
      </w:divBdr>
    </w:div>
    <w:div w:id="1894924861">
      <w:bodyDiv w:val="1"/>
      <w:marLeft w:val="0"/>
      <w:marRight w:val="0"/>
      <w:marTop w:val="0"/>
      <w:marBottom w:val="0"/>
      <w:divBdr>
        <w:top w:val="none" w:sz="0" w:space="0" w:color="auto"/>
        <w:left w:val="none" w:sz="0" w:space="0" w:color="auto"/>
        <w:bottom w:val="none" w:sz="0" w:space="0" w:color="auto"/>
        <w:right w:val="none" w:sz="0" w:space="0" w:color="auto"/>
      </w:divBdr>
    </w:div>
    <w:div w:id="1960262981">
      <w:bodyDiv w:val="1"/>
      <w:marLeft w:val="0"/>
      <w:marRight w:val="0"/>
      <w:marTop w:val="0"/>
      <w:marBottom w:val="0"/>
      <w:divBdr>
        <w:top w:val="none" w:sz="0" w:space="0" w:color="auto"/>
        <w:left w:val="none" w:sz="0" w:space="0" w:color="auto"/>
        <w:bottom w:val="none" w:sz="0" w:space="0" w:color="auto"/>
        <w:right w:val="none" w:sz="0" w:space="0" w:color="auto"/>
      </w:divBdr>
    </w:div>
    <w:div w:id="2060738788">
      <w:bodyDiv w:val="1"/>
      <w:marLeft w:val="0"/>
      <w:marRight w:val="0"/>
      <w:marTop w:val="0"/>
      <w:marBottom w:val="0"/>
      <w:divBdr>
        <w:top w:val="none" w:sz="0" w:space="0" w:color="auto"/>
        <w:left w:val="none" w:sz="0" w:space="0" w:color="auto"/>
        <w:bottom w:val="none" w:sz="0" w:space="0" w:color="auto"/>
        <w:right w:val="none" w:sz="0" w:space="0" w:color="auto"/>
      </w:divBdr>
    </w:div>
    <w:div w:id="2111120991">
      <w:bodyDiv w:val="1"/>
      <w:marLeft w:val="0"/>
      <w:marRight w:val="0"/>
      <w:marTop w:val="0"/>
      <w:marBottom w:val="0"/>
      <w:divBdr>
        <w:top w:val="none" w:sz="0" w:space="0" w:color="auto"/>
        <w:left w:val="none" w:sz="0" w:space="0" w:color="auto"/>
        <w:bottom w:val="none" w:sz="0" w:space="0" w:color="auto"/>
        <w:right w:val="none" w:sz="0" w:space="0" w:color="auto"/>
      </w:divBdr>
    </w:div>
    <w:div w:id="21418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untreaty.un.org/English/TreatyEvent2001/pdf/07e.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ic-mp.org/fdmsweb/index.php?w=mp_details&amp;l=en" TargetMode="External"/><Relationship Id="rId2" Type="http://schemas.openxmlformats.org/officeDocument/2006/relationships/hyperlink" Target="http://familylinks.icrc.org/kosovo/en" TargetMode="External"/><Relationship Id="rId1" Type="http://schemas.openxmlformats.org/officeDocument/2006/relationships/hyperlink" Target="http://www.un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E61A955601804CA63E6FD454F04AEB" ma:contentTypeVersion="16" ma:contentTypeDescription="Create a new document." ma:contentTypeScope="" ma:versionID="6ec836287527807fda9f92030d8541c1">
  <xsd:schema xmlns:xsd="http://www.w3.org/2001/XMLSchema" xmlns:xs="http://www.w3.org/2001/XMLSchema" xmlns:p="http://schemas.microsoft.com/office/2006/metadata/properties" xmlns:ns2="63130c8a-8d1f-4e28-8ee3-43603ca9ef3b" xmlns:ns3="16f2acb5-7363-4076-9084-069fc3bb4325" xmlns:ns4="b9fab99d-1571-47f6-8995-3a195ef041f8" targetNamespace="http://schemas.microsoft.com/office/2006/metadata/properties" ma:root="true" ma:fieldsID="74d86ff03c528acde7f728851d4da174" ns2:_="" ns3:_="" ns4:_="">
    <xsd:import namespace="63130c8a-8d1f-4e28-8ee3-43603ca9ef3b"/>
    <xsd:import namespace="16f2acb5-7363-4076-9084-069fc3bb4325"/>
    <xsd:import namespace="b9fab99d-1571-47f6-8995-3a195ef041f8"/>
    <xsd:element name="properties">
      <xsd:complexType>
        <xsd:sequence>
          <xsd:element name="documentManagement">
            <xsd:complexType>
              <xsd:all>
                <xsd:element ref="ns2:Case_x0020_Year" minOccurs="0"/>
                <xsd:element ref="ns3:Case_x0020_Number"/>
                <xsd:element ref="ns3:Reference"/>
                <xsd:element ref="ns3:Type_x0020_of_x0020_Document"/>
                <xsd:element ref="ns3:Case_x0020_Status"/>
                <xsd:element ref="ns3:Date_x0020_of_x0020_Adoption"/>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30c8a-8d1f-4e28-8ee3-43603ca9ef3b" elementFormDefault="qualified">
    <xsd:import namespace="http://schemas.microsoft.com/office/2006/documentManagement/types"/>
    <xsd:import namespace="http://schemas.microsoft.com/office/infopath/2007/PartnerControls"/>
    <xsd:element name="Case_x0020_Year" ma:index="1" nillable="true" ma:displayName="Year" ma:format="Dropdown" ma:internalName="Case_x0020_Year">
      <xsd:simpleType>
        <xsd:union memberTypes="dms:Text">
          <xsd:simpleType>
            <xsd:restriction base="dms:Choice">
              <xsd:enumeration value="2006"/>
              <xsd:enumeration value="2007"/>
              <xsd:enumeration value="2008"/>
              <xsd:enumeration value="2009"/>
              <xsd:enumeration value="2010"/>
              <xsd:enumeration value="2011"/>
              <xsd:enumeration value="2012"/>
              <xsd:enumeration value="201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6f2acb5-7363-4076-9084-069fc3bb4325" elementFormDefault="qualified">
    <xsd:import namespace="http://schemas.microsoft.com/office/2006/documentManagement/types"/>
    <xsd:import namespace="http://schemas.microsoft.com/office/infopath/2007/PartnerControls"/>
    <xsd:element name="Case_x0020_Number" ma:index="3" ma:displayName="Case Number" ma:internalName="Case_x0020_Number">
      <xsd:simpleType>
        <xsd:restriction base="dms:Text">
          <xsd:maxLength value="6"/>
        </xsd:restriction>
      </xsd:simpleType>
    </xsd:element>
    <xsd:element name="Reference" ma:index="4" ma:displayName="Complainant(s)" ma:description="Name or Names of the complainant/s" ma:internalName="Reference">
      <xsd:simpleType>
        <xsd:restriction base="dms:Text">
          <xsd:maxLength value="255"/>
        </xsd:restriction>
      </xsd:simpleType>
    </xsd:element>
    <xsd:element name="Type_x0020_of_x0020_Document" ma:index="5" ma:displayName="Type of Document" ma:default="SRSG’s decision" ma:description="Select the type of the document" ma:format="Dropdown" ma:internalName="Type_x0020_of_x0020_Document">
      <xsd:simpleType>
        <xsd:union memberTypes="dms:Text">
          <xsd:simpleType>
            <xsd:restriction base="dms:Choice">
              <xsd:enumeration value="Decision - Admissible"/>
              <xsd:enumeration value="Decision - Inadmissible"/>
              <xsd:enumeration value="Decision - Partially admissible"/>
              <xsd:enumeration value="Decision - Strike out"/>
              <xsd:enumeration value="Opinion"/>
              <xsd:enumeration value="Press Release"/>
              <xsd:enumeration value="SRSG’s decision"/>
            </xsd:restriction>
          </xsd:simpleType>
        </xsd:union>
      </xsd:simpleType>
    </xsd:element>
    <xsd:element name="Case_x0020_Status" ma:index="6" ma:displayName="Case Status" ma:default="." ma:format="Dropdown" ma:internalName="Case_x0020_Status">
      <xsd:simpleType>
        <xsd:union memberTypes="dms:Text">
          <xsd:simpleType>
            <xsd:restriction base="dms:Choice">
              <xsd:enumeration value="."/>
              <xsd:enumeration value="CASE PENDING"/>
              <xsd:enumeration value="CASE CLOSED"/>
            </xsd:restriction>
          </xsd:simpleType>
        </xsd:union>
      </xsd:simpleType>
    </xsd:element>
    <xsd:element name="Date_x0020_of_x0020_Adoption" ma:index="7" ma:displayName="Date of Adoption" ma:description="Date of Adoption" ma:format="DateOnly" ma:internalName="Date_x0020_of_x0020_Adop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ference xmlns="16f2acb5-7363-4076-9084-069fc3bb4325">LJUMOVIĆ, Suzana</Reference>
    <Case_x0020_Year xmlns="63130c8a-8d1f-4e28-8ee3-43603ca9ef3b">2009</Case_x0020_Year>
    <Case_x0020_Status xmlns="16f2acb5-7363-4076-9084-069fc3bb4325">CASE CLOSED</Case_x0020_Status>
    <Date_x0020_of_x0020_Adoption xmlns="16f2acb5-7363-4076-9084-069fc3bb4325">2015-06-23T22:00:00+00:00</Date_x0020_of_x0020_Adoption>
    <Case_x0020_Number xmlns="16f2acb5-7363-4076-9084-069fc3bb4325">285/09</Case_x0020_Number>
    <Type_x0020_of_x0020_Document xmlns="16f2acb5-7363-4076-9084-069fc3bb4325">Opinion</Type_x0020_of_x0020_Document>
    <_dlc_DocId xmlns="b9fab99d-1571-47f6-8995-3a195ef041f8">M5JDUUKXSQ5W-25-1113</_dlc_DocId>
    <_dlc_DocIdUrl xmlns="b9fab99d-1571-47f6-8995-3a195ef041f8">
      <Url>http://www.unmikonline.org/hrap/Eng/_layouts/DocIdRedir.aspx?ID=M5JDUUKXSQ5W-25-1113</Url>
      <Description>M5JDUUKXSQ5W-25-1113</Description>
    </_dlc_DocIdUrl>
  </documentManagement>
</p:properties>
</file>

<file path=customXml/itemProps1.xml><?xml version="1.0" encoding="utf-8"?>
<ds:datastoreItem xmlns:ds="http://schemas.openxmlformats.org/officeDocument/2006/customXml" ds:itemID="{4D366235-F38B-4116-91B2-FF3423731D98}"/>
</file>

<file path=customXml/itemProps2.xml><?xml version="1.0" encoding="utf-8"?>
<ds:datastoreItem xmlns:ds="http://schemas.openxmlformats.org/officeDocument/2006/customXml" ds:itemID="{B0CA85C1-2645-474B-A698-AECE2836D9DA}"/>
</file>

<file path=customXml/itemProps3.xml><?xml version="1.0" encoding="utf-8"?>
<ds:datastoreItem xmlns:ds="http://schemas.openxmlformats.org/officeDocument/2006/customXml" ds:itemID="{550A71F6-8EBF-4ECC-8437-8544CD8FB710}"/>
</file>

<file path=customXml/itemProps4.xml><?xml version="1.0" encoding="utf-8"?>
<ds:datastoreItem xmlns:ds="http://schemas.openxmlformats.org/officeDocument/2006/customXml" ds:itemID="{EAD4E545-6E7C-4689-B05F-B8003B6F1DA3}"/>
</file>

<file path=customXml/itemProps5.xml><?xml version="1.0" encoding="utf-8"?>
<ds:datastoreItem xmlns:ds="http://schemas.openxmlformats.org/officeDocument/2006/customXml" ds:itemID="{D4D93B1C-7909-434B-81F8-D9B259076979}"/>
</file>

<file path=docProps/app.xml><?xml version="1.0" encoding="utf-8"?>
<Properties xmlns="http://schemas.openxmlformats.org/officeDocument/2006/extended-properties" xmlns:vt="http://schemas.openxmlformats.org/officeDocument/2006/docPropsVTypes">
  <Template>Normal</Template>
  <TotalTime>0</TotalTime>
  <Pages>34</Pages>
  <Words>16454</Words>
  <Characters>89583</Characters>
  <Application>Microsoft Office Word</Application>
  <DocSecurity>0</DocSecurity>
  <Lines>746</Lines>
  <Paragraphs>211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UN</Company>
  <LinksUpToDate>false</LinksUpToDate>
  <CharactersWithSpaces>105826</CharactersWithSpaces>
  <SharedDoc>false</SharedDoc>
  <HLinks>
    <vt:vector size="24" baseType="variant">
      <vt:variant>
        <vt:i4>3473468</vt:i4>
      </vt:variant>
      <vt:variant>
        <vt:i4>15</vt:i4>
      </vt:variant>
      <vt:variant>
        <vt:i4>0</vt:i4>
      </vt:variant>
      <vt:variant>
        <vt:i4>5</vt:i4>
      </vt:variant>
      <vt:variant>
        <vt:lpwstr>http://untreaty.un.org/English/TreatyEvent2001/pdf/07e.pdf</vt:lpwstr>
      </vt:variant>
      <vt:variant>
        <vt:lpwstr/>
      </vt:variant>
      <vt:variant>
        <vt:i4>6357052</vt:i4>
      </vt:variant>
      <vt:variant>
        <vt:i4>6</vt:i4>
      </vt:variant>
      <vt:variant>
        <vt:i4>0</vt:i4>
      </vt:variant>
      <vt:variant>
        <vt:i4>5</vt:i4>
      </vt:variant>
      <vt:variant>
        <vt:lpwstr>http://www.ic-mp.org/fdmsweb/index.php?w=mp_details_popup&amp;l=en\</vt:lpwstr>
      </vt:variant>
      <vt:variant>
        <vt:lpwstr/>
      </vt:variant>
      <vt:variant>
        <vt:i4>6225949</vt:i4>
      </vt:variant>
      <vt:variant>
        <vt:i4>3</vt:i4>
      </vt:variant>
      <vt:variant>
        <vt:i4>0</vt:i4>
      </vt:variant>
      <vt:variant>
        <vt:i4>5</vt:i4>
      </vt:variant>
      <vt:variant>
        <vt:lpwstr>http://familylinks.icrc.org/kosovo/en</vt:lpwstr>
      </vt:variant>
      <vt:variant>
        <vt:lpwstr/>
      </vt:variant>
      <vt:variant>
        <vt:i4>2949159</vt:i4>
      </vt:variant>
      <vt:variant>
        <vt:i4>0</vt:i4>
      </vt:variant>
      <vt:variant>
        <vt:i4>0</vt:i4>
      </vt:variant>
      <vt:variant>
        <vt:i4>5</vt:i4>
      </vt:variant>
      <vt:variant>
        <vt:lpwstr>http://www.unhchr.org/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smartino</dc:creator>
  <cp:lastModifiedBy>Brandon Gardner</cp:lastModifiedBy>
  <cp:revision>2</cp:revision>
  <cp:lastPrinted>2015-08-05T12:01:00Z</cp:lastPrinted>
  <dcterms:created xsi:type="dcterms:W3CDTF">2015-08-31T08:52:00Z</dcterms:created>
  <dcterms:modified xsi:type="dcterms:W3CDTF">2015-08-31T08:52:00Z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0x0101007CE61A955601804CA63E6FD454F04AEB</vt:lpwstr>
  </property>
  <property fmtid="{D5CDD505-2E9C-101B-9397-08002B2CF9AE}" pid="3" name="_dlc_DocIdItemGuid">
    <vt:lpwstr>65b6e435-90f6-4a4a-a5b8-53b1cec502e3</vt:lpwstr>
  </property>
</Properties>
</file>